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7EF7" w14:textId="23C35B7C" w:rsidR="00A9428A" w:rsidRDefault="00A9428A">
      <w:r w:rsidRPr="00A9428A">
        <w:rPr>
          <w:noProof/>
        </w:rPr>
        <w:drawing>
          <wp:inline distT="0" distB="0" distL="0" distR="0" wp14:anchorId="58B2E81C" wp14:editId="0D0736D5">
            <wp:extent cx="5759450" cy="2465705"/>
            <wp:effectExtent l="0" t="0" r="0" b="0"/>
            <wp:docPr id="768724436" name="Obrázek 1" descr="Obsah obrázku text, logo,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24436" name="Obrázek 1" descr="Obsah obrázku text, logo, snímek obrazovky, Písmo&#10;&#10;Popis byl vytvořen automaticky"/>
                    <pic:cNvPicPr/>
                  </pic:nvPicPr>
                  <pic:blipFill>
                    <a:blip r:embed="rId4"/>
                    <a:stretch>
                      <a:fillRect/>
                    </a:stretch>
                  </pic:blipFill>
                  <pic:spPr>
                    <a:xfrm>
                      <a:off x="0" y="0"/>
                      <a:ext cx="5759450" cy="2465705"/>
                    </a:xfrm>
                    <a:prstGeom prst="rect">
                      <a:avLst/>
                    </a:prstGeom>
                  </pic:spPr>
                </pic:pic>
              </a:graphicData>
            </a:graphic>
          </wp:inline>
        </w:drawing>
      </w:r>
      <w:bookmarkStart w:id="0" w:name="_GoBack"/>
      <w:r w:rsidRPr="00A9428A">
        <w:rPr>
          <w:noProof/>
        </w:rPr>
        <w:drawing>
          <wp:inline distT="0" distB="0" distL="0" distR="0" wp14:anchorId="1CBD6F2A" wp14:editId="25F78559">
            <wp:extent cx="5759450" cy="3377565"/>
            <wp:effectExtent l="0" t="0" r="0" b="0"/>
            <wp:docPr id="1704114303" name="Obrázek 1" descr="Obsah obrázku text, kruh, snímek obrazovky,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14303" name="Obrázek 1" descr="Obsah obrázku text, kruh, snímek obrazovky, Písmo&#10;&#10;Popis byl vytvořen automaticky"/>
                    <pic:cNvPicPr/>
                  </pic:nvPicPr>
                  <pic:blipFill>
                    <a:blip r:embed="rId5"/>
                    <a:stretch>
                      <a:fillRect/>
                    </a:stretch>
                  </pic:blipFill>
                  <pic:spPr>
                    <a:xfrm>
                      <a:off x="0" y="0"/>
                      <a:ext cx="5759450" cy="3377565"/>
                    </a:xfrm>
                    <a:prstGeom prst="rect">
                      <a:avLst/>
                    </a:prstGeom>
                  </pic:spPr>
                </pic:pic>
              </a:graphicData>
            </a:graphic>
          </wp:inline>
        </w:drawing>
      </w:r>
      <w:bookmarkEnd w:id="0"/>
    </w:p>
    <w:p w14:paraId="3BAC27CB" w14:textId="77777777" w:rsidR="00A9428A" w:rsidRDefault="00A9428A"/>
    <w:p w14:paraId="4E032569" w14:textId="7E4BC406" w:rsidR="00242EE7" w:rsidRDefault="00242EE7">
      <w:r>
        <w:t>Průběžné zasedání (</w:t>
      </w:r>
      <w:proofErr w:type="spellStart"/>
      <w:r>
        <w:t>Intermediatte</w:t>
      </w:r>
      <w:proofErr w:type="spellEnd"/>
      <w:r>
        <w:t xml:space="preserve"> meeting) IIW komise XVIII – Řízení kvality ve svařování </w:t>
      </w:r>
      <w:r w:rsidR="00A9428A">
        <w:t xml:space="preserve">               </w:t>
      </w:r>
      <w:r>
        <w:t xml:space="preserve">a souvisejících procesech se uskutečnilo formou online zasedání ve čtvrtek, dne 28.03.2024, odpoledne od 13:00 do 16:00 hodin. </w:t>
      </w:r>
      <w:r w:rsidR="00A85231">
        <w:t xml:space="preserve">Z jednání byl pořizován zvukový záznam. </w:t>
      </w:r>
    </w:p>
    <w:p w14:paraId="4F17761F" w14:textId="5D354D42" w:rsidR="00242EE7" w:rsidRPr="000A70E0" w:rsidRDefault="00242EE7">
      <w:pPr>
        <w:rPr>
          <w:b/>
          <w:bCs/>
        </w:rPr>
      </w:pPr>
      <w:r w:rsidRPr="000A70E0">
        <w:rPr>
          <w:b/>
          <w:bCs/>
        </w:rPr>
        <w:t>Zasedání řídili:</w:t>
      </w:r>
    </w:p>
    <w:p w14:paraId="330829F5" w14:textId="311C65DF" w:rsidR="000A70E0" w:rsidRPr="000A70E0" w:rsidRDefault="000A70E0" w:rsidP="006A78C5">
      <w:pPr>
        <w:spacing w:after="0"/>
        <w:rPr>
          <w:b/>
          <w:bCs/>
          <w:u w:val="single"/>
        </w:rPr>
      </w:pPr>
      <w:r w:rsidRPr="000A70E0">
        <w:rPr>
          <w:b/>
          <w:bCs/>
          <w:u w:val="single"/>
        </w:rPr>
        <w:t>Předsedající (Chair):</w:t>
      </w:r>
    </w:p>
    <w:p w14:paraId="5B3E63B5" w14:textId="20C4AC3B" w:rsidR="000A70E0" w:rsidRDefault="000A70E0" w:rsidP="006A78C5">
      <w:pPr>
        <w:spacing w:after="0"/>
      </w:pPr>
      <w:r>
        <w:t>Robert E SHAW Jr</w:t>
      </w:r>
      <w:r w:rsidR="002C3177">
        <w:t>.</w:t>
      </w:r>
      <w:r>
        <w:t xml:space="preserve"> USA</w:t>
      </w:r>
    </w:p>
    <w:p w14:paraId="74723A59" w14:textId="1FDEAC9E" w:rsidR="00242EE7" w:rsidRDefault="00CE6ECB" w:rsidP="000A70E0">
      <w:pPr>
        <w:spacing w:after="0"/>
      </w:pPr>
      <w:hyperlink r:id="rId6" w:history="1">
        <w:r w:rsidR="000A70E0" w:rsidRPr="00E3645F">
          <w:rPr>
            <w:rStyle w:val="Hypertextovodkaz"/>
          </w:rPr>
          <w:t>robert.shaw@iiwelding.net</w:t>
        </w:r>
      </w:hyperlink>
      <w:r w:rsidR="000A70E0">
        <w:t xml:space="preserve">; </w:t>
      </w:r>
      <w:hyperlink r:id="rId7" w:history="1">
        <w:r w:rsidR="000A70E0" w:rsidRPr="00E3645F">
          <w:rPr>
            <w:rStyle w:val="Hypertextovodkaz"/>
          </w:rPr>
          <w:t>rshaw@steelstructures.com</w:t>
        </w:r>
      </w:hyperlink>
    </w:p>
    <w:p w14:paraId="22700C09" w14:textId="56C7C2FF" w:rsidR="000A70E0" w:rsidRPr="000A70E0" w:rsidRDefault="000A70E0" w:rsidP="006A78C5">
      <w:pPr>
        <w:spacing w:after="0"/>
        <w:rPr>
          <w:b/>
          <w:bCs/>
          <w:u w:val="single"/>
        </w:rPr>
      </w:pPr>
      <w:r w:rsidRPr="000A70E0">
        <w:rPr>
          <w:b/>
          <w:bCs/>
          <w:u w:val="single"/>
        </w:rPr>
        <w:t xml:space="preserve">Zástupci (Vice </w:t>
      </w:r>
      <w:proofErr w:type="spellStart"/>
      <w:r w:rsidRPr="000A70E0">
        <w:rPr>
          <w:b/>
          <w:bCs/>
          <w:u w:val="single"/>
        </w:rPr>
        <w:t>Chairs</w:t>
      </w:r>
      <w:proofErr w:type="spellEnd"/>
      <w:r w:rsidRPr="000A70E0">
        <w:rPr>
          <w:b/>
          <w:bCs/>
          <w:u w:val="single"/>
        </w:rPr>
        <w:t>):</w:t>
      </w:r>
    </w:p>
    <w:p w14:paraId="3F8A8704" w14:textId="77777777" w:rsidR="000A70E0" w:rsidRDefault="000A70E0" w:rsidP="006A78C5">
      <w:pPr>
        <w:spacing w:after="0"/>
      </w:pPr>
      <w:r>
        <w:t xml:space="preserve">Mathias LUNDIN </w:t>
      </w:r>
      <w:proofErr w:type="spellStart"/>
      <w:r>
        <w:t>Sweden</w:t>
      </w:r>
      <w:proofErr w:type="spellEnd"/>
    </w:p>
    <w:p w14:paraId="406A84D0" w14:textId="447A4025" w:rsidR="000A70E0" w:rsidRDefault="00CE6ECB" w:rsidP="000A70E0">
      <w:pPr>
        <w:spacing w:after="0"/>
      </w:pPr>
      <w:hyperlink r:id="rId8" w:history="1">
        <w:r w:rsidR="000A70E0" w:rsidRPr="00E3645F">
          <w:rPr>
            <w:rStyle w:val="Hypertextovodkaz"/>
          </w:rPr>
          <w:t>mathias.lundin@svets.se</w:t>
        </w:r>
      </w:hyperlink>
      <w:r w:rsidR="000A70E0">
        <w:t xml:space="preserve"> </w:t>
      </w:r>
    </w:p>
    <w:p w14:paraId="5175E9AA" w14:textId="77777777" w:rsidR="000A70E0" w:rsidRDefault="000A70E0" w:rsidP="000A70E0">
      <w:pPr>
        <w:spacing w:after="0"/>
      </w:pPr>
      <w:proofErr w:type="spellStart"/>
      <w:r>
        <w:t>Giovannibattista</w:t>
      </w:r>
      <w:proofErr w:type="spellEnd"/>
      <w:r>
        <w:t xml:space="preserve"> (GB) GARBINO Italy</w:t>
      </w:r>
    </w:p>
    <w:p w14:paraId="58687E2A" w14:textId="35157922" w:rsidR="000A70E0" w:rsidRDefault="00CE6ECB" w:rsidP="000A70E0">
      <w:pPr>
        <w:spacing w:after="0"/>
      </w:pPr>
      <w:hyperlink r:id="rId9" w:history="1">
        <w:r w:rsidR="000A70E0" w:rsidRPr="00E3645F">
          <w:rPr>
            <w:rStyle w:val="Hypertextovodkaz"/>
          </w:rPr>
          <w:t>giovanni.garbarino@iis.it</w:t>
        </w:r>
      </w:hyperlink>
      <w:r w:rsidR="000A70E0">
        <w:t xml:space="preserve"> </w:t>
      </w:r>
    </w:p>
    <w:p w14:paraId="58F4D7D9" w14:textId="77777777" w:rsidR="00A9428A" w:rsidRDefault="00A9428A" w:rsidP="000A70E0">
      <w:pPr>
        <w:spacing w:after="0"/>
      </w:pPr>
    </w:p>
    <w:p w14:paraId="3EC09CCA" w14:textId="77777777" w:rsidR="00A9428A" w:rsidRDefault="00A9428A" w:rsidP="000A70E0">
      <w:pPr>
        <w:spacing w:after="0"/>
      </w:pPr>
    </w:p>
    <w:p w14:paraId="6B36671F" w14:textId="107BDB0F" w:rsidR="000A70E0" w:rsidRPr="002C3177" w:rsidRDefault="000A70E0" w:rsidP="000A70E0">
      <w:pPr>
        <w:pStyle w:val="Default"/>
        <w:rPr>
          <w:sz w:val="22"/>
          <w:szCs w:val="22"/>
          <w:u w:val="single"/>
        </w:rPr>
      </w:pPr>
      <w:r w:rsidRPr="002C3177">
        <w:rPr>
          <w:b/>
          <w:bCs/>
          <w:sz w:val="22"/>
          <w:szCs w:val="22"/>
          <w:u w:val="single"/>
        </w:rPr>
        <w:lastRenderedPageBreak/>
        <w:t>Sub</w:t>
      </w:r>
      <w:r w:rsidR="002C3177" w:rsidRPr="002C3177">
        <w:rPr>
          <w:b/>
          <w:bCs/>
          <w:sz w:val="22"/>
          <w:szCs w:val="22"/>
          <w:u w:val="single"/>
        </w:rPr>
        <w:t xml:space="preserve">komise </w:t>
      </w:r>
      <w:r w:rsidRPr="002C3177">
        <w:rPr>
          <w:b/>
          <w:bCs/>
          <w:sz w:val="22"/>
          <w:szCs w:val="22"/>
          <w:u w:val="single"/>
        </w:rPr>
        <w:t xml:space="preserve"> </w:t>
      </w:r>
    </w:p>
    <w:p w14:paraId="211F0693" w14:textId="4E24B876" w:rsidR="000A70E0" w:rsidRDefault="000A70E0" w:rsidP="000A70E0">
      <w:pPr>
        <w:pStyle w:val="Default"/>
        <w:rPr>
          <w:sz w:val="22"/>
          <w:szCs w:val="22"/>
        </w:rPr>
      </w:pPr>
      <w:r>
        <w:rPr>
          <w:b/>
          <w:bCs/>
          <w:sz w:val="22"/>
          <w:szCs w:val="22"/>
        </w:rPr>
        <w:t xml:space="preserve">XVIII-A </w:t>
      </w:r>
      <w:r w:rsidR="002C3177">
        <w:rPr>
          <w:b/>
          <w:bCs/>
          <w:sz w:val="22"/>
          <w:szCs w:val="22"/>
        </w:rPr>
        <w:t>Kvalita -personál</w:t>
      </w:r>
      <w:r>
        <w:rPr>
          <w:b/>
          <w:bCs/>
          <w:sz w:val="22"/>
          <w:szCs w:val="22"/>
        </w:rPr>
        <w:t xml:space="preserve"> </w:t>
      </w:r>
    </w:p>
    <w:p w14:paraId="3E4C080C" w14:textId="0BF9C5B3" w:rsidR="000A70E0" w:rsidRDefault="000A70E0" w:rsidP="000A70E0">
      <w:pPr>
        <w:pStyle w:val="Default"/>
        <w:rPr>
          <w:sz w:val="22"/>
          <w:szCs w:val="22"/>
        </w:rPr>
      </w:pPr>
      <w:r>
        <w:rPr>
          <w:sz w:val="22"/>
          <w:szCs w:val="22"/>
        </w:rPr>
        <w:t xml:space="preserve">Emanuele GANDOLFO Chair (IT) </w:t>
      </w:r>
      <w:hyperlink r:id="rId10" w:history="1">
        <w:r w:rsidR="002C3177" w:rsidRPr="00E3645F">
          <w:rPr>
            <w:rStyle w:val="Hypertextovodkaz"/>
            <w:sz w:val="22"/>
            <w:szCs w:val="22"/>
          </w:rPr>
          <w:t>Emanuele.Gandolfo@iiscert.it</w:t>
        </w:r>
      </w:hyperlink>
      <w:r w:rsidR="002C3177">
        <w:rPr>
          <w:sz w:val="22"/>
          <w:szCs w:val="22"/>
        </w:rPr>
        <w:t xml:space="preserve"> </w:t>
      </w:r>
      <w:r>
        <w:rPr>
          <w:sz w:val="22"/>
          <w:szCs w:val="22"/>
        </w:rPr>
        <w:t xml:space="preserve"> </w:t>
      </w:r>
    </w:p>
    <w:p w14:paraId="05DD9B9D" w14:textId="77777777" w:rsidR="000A70E0" w:rsidRDefault="000A70E0" w:rsidP="000A70E0">
      <w:pPr>
        <w:pStyle w:val="Default"/>
        <w:rPr>
          <w:sz w:val="22"/>
          <w:szCs w:val="22"/>
        </w:rPr>
      </w:pPr>
      <w:r>
        <w:rPr>
          <w:sz w:val="22"/>
          <w:szCs w:val="22"/>
        </w:rPr>
        <w:t xml:space="preserve">Open Vice-Chair </w:t>
      </w:r>
    </w:p>
    <w:p w14:paraId="21A7950D" w14:textId="0261E971" w:rsidR="000A70E0" w:rsidRDefault="000A70E0" w:rsidP="000A70E0">
      <w:pPr>
        <w:pStyle w:val="Default"/>
        <w:rPr>
          <w:sz w:val="22"/>
          <w:szCs w:val="22"/>
        </w:rPr>
      </w:pPr>
      <w:r>
        <w:rPr>
          <w:b/>
          <w:bCs/>
          <w:sz w:val="22"/>
          <w:szCs w:val="22"/>
        </w:rPr>
        <w:t xml:space="preserve">XVIII-B </w:t>
      </w:r>
      <w:r w:rsidR="002C3177">
        <w:rPr>
          <w:b/>
          <w:bCs/>
          <w:sz w:val="22"/>
          <w:szCs w:val="22"/>
        </w:rPr>
        <w:t xml:space="preserve">Kvalita -systémy managementu </w:t>
      </w:r>
    </w:p>
    <w:p w14:paraId="350DE459" w14:textId="73345324" w:rsidR="000A70E0" w:rsidRDefault="000A70E0" w:rsidP="000A70E0">
      <w:pPr>
        <w:pStyle w:val="Default"/>
        <w:rPr>
          <w:sz w:val="22"/>
          <w:szCs w:val="22"/>
        </w:rPr>
      </w:pPr>
      <w:r>
        <w:rPr>
          <w:sz w:val="22"/>
          <w:szCs w:val="22"/>
        </w:rPr>
        <w:t xml:space="preserve">Inderpal JASWAL Chair (CAN) </w:t>
      </w:r>
      <w:hyperlink r:id="rId11" w:history="1">
        <w:r w:rsidR="002C3177" w:rsidRPr="00E3645F">
          <w:rPr>
            <w:rStyle w:val="Hypertextovodkaz"/>
            <w:sz w:val="22"/>
            <w:szCs w:val="22"/>
          </w:rPr>
          <w:t>Inderpal.Jaswal@cwbgroup.org</w:t>
        </w:r>
      </w:hyperlink>
      <w:r w:rsidR="002C3177">
        <w:rPr>
          <w:sz w:val="22"/>
          <w:szCs w:val="22"/>
        </w:rPr>
        <w:t xml:space="preserve"> </w:t>
      </w:r>
      <w:r>
        <w:rPr>
          <w:sz w:val="22"/>
          <w:szCs w:val="22"/>
        </w:rPr>
        <w:t xml:space="preserve"> </w:t>
      </w:r>
    </w:p>
    <w:p w14:paraId="70FDEEE4" w14:textId="77777777" w:rsidR="000A70E0" w:rsidRDefault="000A70E0" w:rsidP="000A70E0">
      <w:pPr>
        <w:pStyle w:val="Default"/>
        <w:rPr>
          <w:sz w:val="22"/>
          <w:szCs w:val="22"/>
        </w:rPr>
      </w:pPr>
      <w:r>
        <w:rPr>
          <w:sz w:val="22"/>
          <w:szCs w:val="22"/>
        </w:rPr>
        <w:t xml:space="preserve">Open Vice-Chair </w:t>
      </w:r>
    </w:p>
    <w:p w14:paraId="58C28262" w14:textId="2B5714A9" w:rsidR="000A70E0" w:rsidRDefault="000A70E0" w:rsidP="000A70E0">
      <w:pPr>
        <w:pStyle w:val="Default"/>
        <w:rPr>
          <w:sz w:val="22"/>
          <w:szCs w:val="22"/>
        </w:rPr>
      </w:pPr>
      <w:r>
        <w:rPr>
          <w:b/>
          <w:bCs/>
          <w:sz w:val="22"/>
          <w:szCs w:val="22"/>
        </w:rPr>
        <w:t xml:space="preserve">XVIII-C </w:t>
      </w:r>
      <w:r w:rsidR="002C3177">
        <w:rPr>
          <w:b/>
          <w:bCs/>
          <w:sz w:val="22"/>
          <w:szCs w:val="22"/>
        </w:rPr>
        <w:t xml:space="preserve">Kvalita – </w:t>
      </w:r>
      <w:proofErr w:type="spellStart"/>
      <w:r w:rsidR="002C3177">
        <w:rPr>
          <w:b/>
          <w:bCs/>
          <w:sz w:val="22"/>
          <w:szCs w:val="22"/>
        </w:rPr>
        <w:t>manageent</w:t>
      </w:r>
      <w:proofErr w:type="spellEnd"/>
      <w:r w:rsidR="002C3177">
        <w:rPr>
          <w:b/>
          <w:bCs/>
          <w:sz w:val="22"/>
          <w:szCs w:val="22"/>
        </w:rPr>
        <w:t xml:space="preserve"> norem</w:t>
      </w:r>
      <w:r>
        <w:rPr>
          <w:b/>
          <w:bCs/>
          <w:sz w:val="22"/>
          <w:szCs w:val="22"/>
        </w:rPr>
        <w:t xml:space="preserve"> </w:t>
      </w:r>
    </w:p>
    <w:p w14:paraId="3910D69F" w14:textId="4605F810" w:rsidR="000A70E0" w:rsidRDefault="000A70E0" w:rsidP="000A70E0">
      <w:pPr>
        <w:pStyle w:val="Default"/>
        <w:rPr>
          <w:sz w:val="22"/>
          <w:szCs w:val="22"/>
        </w:rPr>
      </w:pPr>
      <w:r>
        <w:rPr>
          <w:sz w:val="22"/>
          <w:szCs w:val="22"/>
        </w:rPr>
        <w:t xml:space="preserve">Bob Shaw Chair (USA) </w:t>
      </w:r>
      <w:hyperlink r:id="rId12" w:history="1">
        <w:r w:rsidR="002C3177" w:rsidRPr="00E3645F">
          <w:rPr>
            <w:rStyle w:val="Hypertextovodkaz"/>
            <w:sz w:val="22"/>
            <w:szCs w:val="22"/>
          </w:rPr>
          <w:t>robert.shaw@iiwelding.net</w:t>
        </w:r>
      </w:hyperlink>
      <w:r w:rsidR="002C3177">
        <w:rPr>
          <w:sz w:val="22"/>
          <w:szCs w:val="22"/>
        </w:rPr>
        <w:t xml:space="preserve"> </w:t>
      </w:r>
      <w:r>
        <w:rPr>
          <w:sz w:val="22"/>
          <w:szCs w:val="22"/>
        </w:rPr>
        <w:t xml:space="preserve"> </w:t>
      </w:r>
    </w:p>
    <w:p w14:paraId="281BB74D" w14:textId="495C336A" w:rsidR="002C3177" w:rsidRDefault="000A70E0" w:rsidP="002C3177">
      <w:pPr>
        <w:pStyle w:val="Default"/>
        <w:rPr>
          <w:sz w:val="22"/>
          <w:szCs w:val="22"/>
        </w:rPr>
      </w:pPr>
      <w:r>
        <w:rPr>
          <w:sz w:val="22"/>
          <w:szCs w:val="22"/>
        </w:rPr>
        <w:t xml:space="preserve">Emma </w:t>
      </w:r>
      <w:proofErr w:type="spellStart"/>
      <w:r>
        <w:rPr>
          <w:sz w:val="22"/>
          <w:szCs w:val="22"/>
        </w:rPr>
        <w:t>Freckingham</w:t>
      </w:r>
      <w:proofErr w:type="spellEnd"/>
      <w:r w:rsidR="002C3177">
        <w:t xml:space="preserve">  </w:t>
      </w:r>
      <w:r w:rsidR="002C3177">
        <w:rPr>
          <w:color w:val="auto"/>
          <w:sz w:val="22"/>
          <w:szCs w:val="22"/>
        </w:rPr>
        <w:t xml:space="preserve">Vice-Chair (UK), </w:t>
      </w:r>
      <w:hyperlink r:id="rId13" w:history="1">
        <w:r w:rsidR="002C3177" w:rsidRPr="00E3645F">
          <w:rPr>
            <w:rStyle w:val="Hypertextovodkaz"/>
            <w:sz w:val="22"/>
            <w:szCs w:val="22"/>
          </w:rPr>
          <w:t>emma.freckingham@twi.co.uk</w:t>
        </w:r>
      </w:hyperlink>
      <w:r w:rsidR="002C3177">
        <w:rPr>
          <w:sz w:val="22"/>
          <w:szCs w:val="22"/>
        </w:rPr>
        <w:t xml:space="preserve">  </w:t>
      </w:r>
    </w:p>
    <w:p w14:paraId="6E42434A" w14:textId="0384D3C0" w:rsidR="000A70E0" w:rsidRDefault="002C3177" w:rsidP="002C3177">
      <w:r>
        <w:t>(od 1. ledna, 2024)</w:t>
      </w:r>
    </w:p>
    <w:p w14:paraId="01129391" w14:textId="0D431906" w:rsidR="002C3177" w:rsidRDefault="002C3177" w:rsidP="002C3177">
      <w:r>
        <w:t>Zasedání probíhalo podle následujícího programu:</w:t>
      </w:r>
    </w:p>
    <w:p w14:paraId="7AE4E167" w14:textId="43D2B2F7" w:rsidR="002C3177" w:rsidRPr="006A78C5" w:rsidRDefault="002C3177" w:rsidP="002C3177">
      <w:pPr>
        <w:rPr>
          <w:b/>
          <w:bCs/>
          <w:smallCaps/>
          <w:color w:val="FF0000"/>
          <w:sz w:val="28"/>
          <w:szCs w:val="28"/>
        </w:rPr>
      </w:pPr>
      <w:r w:rsidRPr="006A78C5">
        <w:rPr>
          <w:b/>
          <w:bCs/>
          <w:smallCaps/>
          <w:color w:val="FF0000"/>
          <w:sz w:val="28"/>
          <w:szCs w:val="28"/>
        </w:rPr>
        <w:t>1. Zahájení meetingu a přivítání účastníků (13.00)</w:t>
      </w:r>
    </w:p>
    <w:p w14:paraId="3E25FD79" w14:textId="0AEA195F" w:rsidR="00847515" w:rsidRDefault="002C3177" w:rsidP="002C3177">
      <w:pPr>
        <w:rPr>
          <w:color w:val="156082" w:themeColor="accent1"/>
        </w:rPr>
      </w:pPr>
      <w:r w:rsidRPr="00847515">
        <w:rPr>
          <w:color w:val="156082" w:themeColor="accent1"/>
        </w:rPr>
        <w:t xml:space="preserve">1a. (13.00) </w:t>
      </w:r>
      <w:r w:rsidR="00847515">
        <w:rPr>
          <w:color w:val="156082" w:themeColor="accent1"/>
        </w:rPr>
        <w:t>Představení delegátů a omluvy neúčasti</w:t>
      </w:r>
    </w:p>
    <w:p w14:paraId="08D7DC1C" w14:textId="77777777" w:rsidR="00847515" w:rsidRPr="00847515" w:rsidRDefault="002C3177" w:rsidP="002C3177">
      <w:pPr>
        <w:rPr>
          <w:color w:val="156082" w:themeColor="accent1"/>
        </w:rPr>
      </w:pPr>
      <w:r w:rsidRPr="00847515">
        <w:rPr>
          <w:color w:val="156082" w:themeColor="accent1"/>
        </w:rPr>
        <w:t xml:space="preserve">1b. (13.10) </w:t>
      </w:r>
      <w:r w:rsidR="00847515" w:rsidRPr="00847515">
        <w:rPr>
          <w:color w:val="156082" w:themeColor="accent1"/>
        </w:rPr>
        <w:t>Antimonopolní prohlášení</w:t>
      </w:r>
    </w:p>
    <w:p w14:paraId="3D72AA14" w14:textId="21E79908" w:rsidR="002C3177" w:rsidRDefault="002C3177" w:rsidP="002C3177">
      <w:r>
        <w:t xml:space="preserve">IIW </w:t>
      </w:r>
      <w:r w:rsidR="00A9428A" w:rsidRPr="00847515">
        <w:t xml:space="preserve">antimonopolní prohlášení </w:t>
      </w:r>
      <w:r w:rsidR="00A9428A">
        <w:t>j</w:t>
      </w:r>
      <w:r w:rsidR="00847515" w:rsidRPr="00847515">
        <w:t>e třeba vzít na vědomí</w:t>
      </w:r>
      <w:r w:rsidR="00847515">
        <w:t>.</w:t>
      </w:r>
      <w:r>
        <w:t xml:space="preserve"> </w:t>
      </w:r>
      <w:r w:rsidR="00847515">
        <w:t>Viz.</w:t>
      </w:r>
      <w:r>
        <w:t xml:space="preserve"> RD-260.</w:t>
      </w:r>
    </w:p>
    <w:p w14:paraId="72F39C27" w14:textId="00ECB2FC" w:rsidR="002C3177" w:rsidRDefault="002C3177" w:rsidP="002C3177">
      <w:r w:rsidRPr="00847515">
        <w:rPr>
          <w:color w:val="156082" w:themeColor="accent1"/>
        </w:rPr>
        <w:t xml:space="preserve">1c. (13.10) </w:t>
      </w:r>
      <w:r w:rsidR="00847515" w:rsidRPr="00847515">
        <w:rPr>
          <w:color w:val="156082" w:themeColor="accent1"/>
        </w:rPr>
        <w:t>Etický kodex</w:t>
      </w:r>
    </w:p>
    <w:p w14:paraId="06BA81AD" w14:textId="37294946" w:rsidR="002C3177" w:rsidRDefault="00847515" w:rsidP="002C3177">
      <w:r w:rsidRPr="00847515">
        <w:t xml:space="preserve">Je třeba vzít na vědomí zásady </w:t>
      </w:r>
      <w:r>
        <w:t>Etického kodexu</w:t>
      </w:r>
      <w:r w:rsidRPr="00847515">
        <w:t xml:space="preserve"> správní rady IIW. </w:t>
      </w:r>
      <w:r>
        <w:t>Viz.</w:t>
      </w:r>
      <w:r w:rsidR="002C3177">
        <w:t xml:space="preserve"> RD-202r1.</w:t>
      </w:r>
    </w:p>
    <w:p w14:paraId="3C0D86EA" w14:textId="4CAF003F" w:rsidR="002C3177" w:rsidRPr="00847515" w:rsidRDefault="002C3177" w:rsidP="002C3177">
      <w:pPr>
        <w:rPr>
          <w:color w:val="156082" w:themeColor="accent1"/>
        </w:rPr>
      </w:pPr>
      <w:r w:rsidRPr="00847515">
        <w:rPr>
          <w:color w:val="156082" w:themeColor="accent1"/>
        </w:rPr>
        <w:t xml:space="preserve">1d. (13.10) </w:t>
      </w:r>
      <w:r w:rsidR="00847515" w:rsidRPr="00847515">
        <w:rPr>
          <w:color w:val="156082" w:themeColor="accent1"/>
        </w:rPr>
        <w:t xml:space="preserve">Postupy při jednání </w:t>
      </w:r>
    </w:p>
    <w:p w14:paraId="6DFD9A45" w14:textId="79AFB8C6" w:rsidR="002C3177" w:rsidRDefault="00847515" w:rsidP="002C3177">
      <w:r w:rsidRPr="00847515">
        <w:t>Důvěrnost - Každý účastník může požádat o přerušení nahrávání zápisu z důvěrné diskuse. Takové diskuse se do zápisu nezaznamenávají a neměly by se opakovat ani mimo Komisi XVIII. Jakmile je důvěrná diskuse ukončena, oznámí se to a záznam zápisu se obnoví.</w:t>
      </w:r>
    </w:p>
    <w:p w14:paraId="7DAD16B5" w14:textId="2B0DA364" w:rsidR="000A70E0" w:rsidRPr="00A85231" w:rsidRDefault="002C3177" w:rsidP="002C3177">
      <w:pPr>
        <w:rPr>
          <w:color w:val="156082" w:themeColor="accent1"/>
        </w:rPr>
      </w:pPr>
      <w:r w:rsidRPr="00A85231">
        <w:rPr>
          <w:color w:val="156082" w:themeColor="accent1"/>
        </w:rPr>
        <w:t xml:space="preserve">1e. (13.15) </w:t>
      </w:r>
      <w:r w:rsidR="00A85231" w:rsidRPr="00A85231">
        <w:rPr>
          <w:color w:val="156082" w:themeColor="accent1"/>
        </w:rPr>
        <w:t>Seznam delegátů</w:t>
      </w:r>
    </w:p>
    <w:p w14:paraId="18E703A7" w14:textId="673ED529" w:rsidR="00A85231" w:rsidRDefault="00A85231" w:rsidP="002C3177">
      <w:r w:rsidRPr="00A85231">
        <w:t>V seznamu delegátů je uvedeno, kdo má hlasovací právo ve správních záležitostech projednávaných na tomto zasedání až do výročního shromáždění v roce 2024. Pokud jste uvedeni na seznamu, ale nebudete přítomni osobně ani virtuálně, nebo pokud vaše členská země není zastoupena, obraťte se na svou odpovědnou členskou společnost (RMS). RMS může výběr svých delegátů kdykoli před tímto zasedáním nebo po něm aktualizovat.</w:t>
      </w:r>
    </w:p>
    <w:p w14:paraId="2C3198DA" w14:textId="5A46B095" w:rsidR="000A70E0" w:rsidRDefault="00A85231" w:rsidP="000A70E0">
      <w:r w:rsidRPr="00A85231">
        <w:t>Poznámka: Ruské delegaci není v současné době účast povolena z důvodu evropských sankcí.</w:t>
      </w:r>
    </w:p>
    <w:p w14:paraId="22606F3C" w14:textId="7205EC87" w:rsidR="006A78C5" w:rsidRDefault="006A78C5" w:rsidP="000A70E0">
      <w:pPr>
        <w:rPr>
          <w:b/>
          <w:bCs/>
          <w:color w:val="FF0000"/>
          <w:sz w:val="28"/>
          <w:szCs w:val="28"/>
        </w:rPr>
      </w:pPr>
      <w:r w:rsidRPr="006A78C5">
        <w:rPr>
          <w:b/>
          <w:bCs/>
          <w:color w:val="FF0000"/>
          <w:sz w:val="28"/>
          <w:szCs w:val="28"/>
        </w:rPr>
        <w:t xml:space="preserve">2. </w:t>
      </w:r>
      <w:r>
        <w:rPr>
          <w:b/>
          <w:bCs/>
          <w:color w:val="FF0000"/>
          <w:sz w:val="28"/>
          <w:szCs w:val="28"/>
        </w:rPr>
        <w:t>SCHVÁLENÍ</w:t>
      </w:r>
      <w:r w:rsidRPr="006A78C5">
        <w:rPr>
          <w:b/>
          <w:bCs/>
          <w:color w:val="FF0000"/>
          <w:sz w:val="28"/>
          <w:szCs w:val="28"/>
        </w:rPr>
        <w:t xml:space="preserve"> PROGRAMU A ZÁPISU Z</w:t>
      </w:r>
      <w:r>
        <w:rPr>
          <w:b/>
          <w:bCs/>
          <w:color w:val="FF0000"/>
          <w:sz w:val="28"/>
          <w:szCs w:val="28"/>
        </w:rPr>
        <w:t> MINULÉHO ZASEDÁNÍ</w:t>
      </w:r>
      <w:r w:rsidRPr="006A78C5">
        <w:rPr>
          <w:b/>
          <w:bCs/>
          <w:color w:val="FF0000"/>
          <w:sz w:val="28"/>
          <w:szCs w:val="28"/>
        </w:rPr>
        <w:t xml:space="preserve"> (13.20)</w:t>
      </w:r>
    </w:p>
    <w:p w14:paraId="7C2851E7" w14:textId="77777777" w:rsidR="006A78C5" w:rsidRPr="006A78C5" w:rsidRDefault="006A78C5" w:rsidP="006A78C5">
      <w:pPr>
        <w:spacing w:after="0"/>
        <w:rPr>
          <w:color w:val="156082" w:themeColor="accent1"/>
        </w:rPr>
      </w:pPr>
      <w:r w:rsidRPr="006A78C5">
        <w:rPr>
          <w:color w:val="156082" w:themeColor="accent1"/>
        </w:rPr>
        <w:t>2a. (13.20) Schválení programu jednání</w:t>
      </w:r>
    </w:p>
    <w:p w14:paraId="5C297BF3" w14:textId="556CA4B6" w:rsidR="006A78C5" w:rsidRPr="00A9428A" w:rsidRDefault="006A78C5" w:rsidP="006A78C5">
      <w:pPr>
        <w:spacing w:after="0"/>
      </w:pPr>
      <w:r w:rsidRPr="006A78C5">
        <w:rPr>
          <w:color w:val="156082" w:themeColor="accent1"/>
        </w:rPr>
        <w:t>XVIII-0319-2024</w:t>
      </w:r>
      <w:r w:rsidR="00A9428A">
        <w:rPr>
          <w:color w:val="156082" w:themeColor="accent1"/>
        </w:rPr>
        <w:t xml:space="preserve"> – </w:t>
      </w:r>
      <w:r w:rsidR="00A9428A" w:rsidRPr="00A9428A">
        <w:t>schváleno bez připomínek</w:t>
      </w:r>
    </w:p>
    <w:p w14:paraId="71447A0C" w14:textId="77777777" w:rsidR="006A78C5" w:rsidRDefault="006A78C5" w:rsidP="006A78C5">
      <w:pPr>
        <w:spacing w:after="0"/>
        <w:rPr>
          <w:color w:val="156082" w:themeColor="accent1"/>
        </w:rPr>
      </w:pPr>
    </w:p>
    <w:p w14:paraId="2BBD5F16" w14:textId="75F7E8FA" w:rsidR="006A78C5" w:rsidRPr="006A78C5" w:rsidRDefault="006A78C5" w:rsidP="006A78C5">
      <w:pPr>
        <w:spacing w:after="0"/>
        <w:rPr>
          <w:color w:val="156082" w:themeColor="accent1"/>
        </w:rPr>
      </w:pPr>
      <w:r w:rsidRPr="006A78C5">
        <w:rPr>
          <w:color w:val="156082" w:themeColor="accent1"/>
        </w:rPr>
        <w:t xml:space="preserve">2b. (13.20) Schválení zápisu z předchozího zasedání, </w:t>
      </w:r>
      <w:r>
        <w:rPr>
          <w:color w:val="156082" w:themeColor="accent1"/>
        </w:rPr>
        <w:t>konaného v</w:t>
      </w:r>
      <w:r w:rsidRPr="006A78C5">
        <w:rPr>
          <w:color w:val="156082" w:themeColor="accent1"/>
        </w:rPr>
        <w:t xml:space="preserve"> Singapur</w:t>
      </w:r>
      <w:r>
        <w:rPr>
          <w:color w:val="156082" w:themeColor="accent1"/>
        </w:rPr>
        <w:t>u</w:t>
      </w:r>
      <w:r w:rsidRPr="006A78C5">
        <w:rPr>
          <w:color w:val="156082" w:themeColor="accent1"/>
        </w:rPr>
        <w:t>, 19. července 2023</w:t>
      </w:r>
    </w:p>
    <w:p w14:paraId="205BFD35" w14:textId="634BB378" w:rsidR="006A78C5" w:rsidRDefault="006A78C5" w:rsidP="006A78C5">
      <w:pPr>
        <w:spacing w:after="0"/>
        <w:rPr>
          <w:color w:val="156082" w:themeColor="accent1"/>
        </w:rPr>
      </w:pPr>
      <w:r w:rsidRPr="006A78C5">
        <w:rPr>
          <w:color w:val="156082" w:themeColor="accent1"/>
        </w:rPr>
        <w:t>XVIII-0317-2023</w:t>
      </w:r>
      <w:r w:rsidR="00A9428A">
        <w:rPr>
          <w:color w:val="156082" w:themeColor="accent1"/>
        </w:rPr>
        <w:t xml:space="preserve"> – </w:t>
      </w:r>
      <w:r w:rsidR="00A9428A" w:rsidRPr="00A9428A">
        <w:t>schváleno bez připomínek</w:t>
      </w:r>
    </w:p>
    <w:p w14:paraId="362B4FD3" w14:textId="77777777" w:rsidR="006A78C5" w:rsidRDefault="006A78C5" w:rsidP="006A78C5">
      <w:pPr>
        <w:spacing w:after="0"/>
        <w:rPr>
          <w:color w:val="156082" w:themeColor="accent1"/>
        </w:rPr>
      </w:pPr>
    </w:p>
    <w:p w14:paraId="046309DB" w14:textId="7B39D2B0" w:rsidR="006A78C5" w:rsidRPr="0090766D" w:rsidRDefault="006A78C5" w:rsidP="006A78C5">
      <w:pPr>
        <w:spacing w:after="0"/>
        <w:rPr>
          <w:b/>
          <w:bCs/>
          <w:color w:val="FF0000"/>
          <w:sz w:val="28"/>
          <w:szCs w:val="28"/>
        </w:rPr>
      </w:pPr>
      <w:r w:rsidRPr="0090766D">
        <w:rPr>
          <w:b/>
          <w:bCs/>
          <w:color w:val="FF0000"/>
          <w:sz w:val="28"/>
          <w:szCs w:val="28"/>
        </w:rPr>
        <w:t>3. INFORMACE OD PŘEDSEDAJÍCÍHO (13.25)</w:t>
      </w:r>
    </w:p>
    <w:p w14:paraId="30D7F8C8" w14:textId="77777777" w:rsidR="00354785" w:rsidRPr="00354785" w:rsidRDefault="00354785" w:rsidP="006A78C5">
      <w:pPr>
        <w:spacing w:after="0"/>
        <w:rPr>
          <w:color w:val="156082" w:themeColor="accent1"/>
        </w:rPr>
      </w:pPr>
    </w:p>
    <w:p w14:paraId="6E8E9EB8" w14:textId="3CD5C90F" w:rsidR="006A78C5" w:rsidRDefault="006A78C5" w:rsidP="006A78C5">
      <w:pPr>
        <w:spacing w:after="0"/>
        <w:rPr>
          <w:color w:val="156082" w:themeColor="accent1"/>
        </w:rPr>
      </w:pPr>
      <w:r w:rsidRPr="006A78C5">
        <w:rPr>
          <w:color w:val="156082" w:themeColor="accent1"/>
        </w:rPr>
        <w:t>3a. (13.25) Pokrok ve zveřejňování osvědčených postupů, doporučení, stanovisek atd.</w:t>
      </w:r>
    </w:p>
    <w:p w14:paraId="3A75DD53" w14:textId="76C1F676" w:rsidR="006A78C5" w:rsidRDefault="006A78C5" w:rsidP="006A78C5">
      <w:pPr>
        <w:spacing w:after="0"/>
      </w:pPr>
      <w:r w:rsidRPr="00354785">
        <w:t xml:space="preserve">Společnost IIW uzavřela smlouvu s vydavatelstvím </w:t>
      </w:r>
      <w:proofErr w:type="spellStart"/>
      <w:r w:rsidRPr="00354785">
        <w:t>Springer</w:t>
      </w:r>
      <w:proofErr w:type="spellEnd"/>
      <w:r w:rsidRPr="00354785">
        <w:t xml:space="preserve">, které vydává časopis </w:t>
      </w:r>
      <w:proofErr w:type="spellStart"/>
      <w:r w:rsidRPr="00354785">
        <w:t>Welding</w:t>
      </w:r>
      <w:proofErr w:type="spellEnd"/>
      <w:r w:rsidRPr="00354785">
        <w:t xml:space="preserve"> in </w:t>
      </w:r>
      <w:proofErr w:type="spellStart"/>
      <w:r w:rsidRPr="00354785">
        <w:t>the</w:t>
      </w:r>
      <w:proofErr w:type="spellEnd"/>
      <w:r w:rsidRPr="00354785">
        <w:t xml:space="preserve"> </w:t>
      </w:r>
      <w:proofErr w:type="spellStart"/>
      <w:r w:rsidRPr="00354785">
        <w:t>World</w:t>
      </w:r>
      <w:proofErr w:type="spellEnd"/>
      <w:r w:rsidRPr="00354785">
        <w:t xml:space="preserve">, a nyní začne vydávat </w:t>
      </w:r>
      <w:proofErr w:type="spellStart"/>
      <w:r w:rsidRPr="00354785">
        <w:t>SpringerBriefs</w:t>
      </w:r>
      <w:proofErr w:type="spellEnd"/>
      <w:r w:rsidRPr="00354785">
        <w:t xml:space="preserve"> pro IIW. </w:t>
      </w:r>
      <w:proofErr w:type="spellStart"/>
      <w:r w:rsidRPr="00354785">
        <w:t>SpringerBriefs</w:t>
      </w:r>
      <w:proofErr w:type="spellEnd"/>
      <w:r w:rsidRPr="00354785">
        <w:t xml:space="preserve"> budou hlavním způsobem </w:t>
      </w:r>
      <w:r w:rsidRPr="00354785">
        <w:lastRenderedPageBreak/>
        <w:t xml:space="preserve">publikování našich osvědčených postupů, doporučených postupů, pokynů, kompendií, studií, stanovisek a dalších materiálů, které jsou užitečné a potřebné pro komunitu svařování </w:t>
      </w:r>
      <w:r w:rsidR="00A9428A">
        <w:t xml:space="preserve">                   </w:t>
      </w:r>
      <w:r w:rsidRPr="00354785">
        <w:t>a spojování.</w:t>
      </w:r>
    </w:p>
    <w:p w14:paraId="6857A7AA" w14:textId="77777777" w:rsidR="00354785" w:rsidRDefault="00354785" w:rsidP="006A78C5">
      <w:pPr>
        <w:spacing w:after="0"/>
      </w:pPr>
    </w:p>
    <w:p w14:paraId="30BF8C00" w14:textId="297CA680" w:rsidR="00354785" w:rsidRPr="00354785" w:rsidRDefault="00354785" w:rsidP="006A78C5">
      <w:pPr>
        <w:spacing w:after="0"/>
        <w:rPr>
          <w:color w:val="156082" w:themeColor="accent1"/>
        </w:rPr>
      </w:pPr>
      <w:r w:rsidRPr="00354785">
        <w:rPr>
          <w:color w:val="156082" w:themeColor="accent1"/>
        </w:rPr>
        <w:t>3b. (13.25) Pracovní skupiny technických komisí (WG-TCOM) a technická řídící rada (TMB)</w:t>
      </w:r>
    </w:p>
    <w:p w14:paraId="32FE59EC" w14:textId="77777777" w:rsidR="00354785" w:rsidRDefault="00354785" w:rsidP="00354785">
      <w:pPr>
        <w:spacing w:after="0"/>
      </w:pPr>
      <w:r>
        <w:t>Název skupiny technické komise pro C-XVIII byl změněn z "</w:t>
      </w:r>
      <w:proofErr w:type="spellStart"/>
      <w:r>
        <w:t>Human</w:t>
      </w:r>
      <w:proofErr w:type="spellEnd"/>
      <w:r>
        <w:t xml:space="preserve"> </w:t>
      </w:r>
      <w:proofErr w:type="spellStart"/>
      <w:r>
        <w:t>Factors</w:t>
      </w:r>
      <w:proofErr w:type="spellEnd"/>
      <w:r>
        <w:t>" na "</w:t>
      </w:r>
      <w:proofErr w:type="spellStart"/>
      <w:r>
        <w:t>Industry</w:t>
      </w:r>
      <w:proofErr w:type="spellEnd"/>
      <w:r>
        <w:t xml:space="preserve"> Support". Carl </w:t>
      </w:r>
      <w:proofErr w:type="spellStart"/>
      <w:r>
        <w:t>Peters</w:t>
      </w:r>
      <w:proofErr w:type="spellEnd"/>
      <w:r>
        <w:t xml:space="preserve"> z komise C-XIV zastupuje v TMB podporu průmyslu. Zaměření TMB bylo upraveno tak, aby se soustředilo na strategické záležitosti.</w:t>
      </w:r>
    </w:p>
    <w:p w14:paraId="25823105" w14:textId="62CC7C63" w:rsidR="00354785" w:rsidRDefault="00354785" w:rsidP="00354785">
      <w:pPr>
        <w:spacing w:after="0"/>
      </w:pPr>
      <w:r>
        <w:t>Pracovní skupina TMB se zaměřuje na provozní záležitosti Komise. Členy WG-TCOM je osmnáct (18) předsedů komisí a šest členů TMB s hlasovacím právem.</w:t>
      </w:r>
    </w:p>
    <w:p w14:paraId="217B1AE9" w14:textId="77777777" w:rsidR="00354785" w:rsidRDefault="00354785" w:rsidP="00354785">
      <w:pPr>
        <w:spacing w:after="0"/>
      </w:pPr>
    </w:p>
    <w:p w14:paraId="220C8002" w14:textId="3522FB67" w:rsidR="00354785" w:rsidRDefault="00354785" w:rsidP="00354785">
      <w:pPr>
        <w:spacing w:after="0"/>
        <w:rPr>
          <w:color w:val="156082" w:themeColor="accent1"/>
        </w:rPr>
      </w:pPr>
      <w:r w:rsidRPr="00354785">
        <w:rPr>
          <w:color w:val="156082" w:themeColor="accent1"/>
        </w:rPr>
        <w:t>3c. (13.25) Vedení Komise XVIII</w:t>
      </w:r>
    </w:p>
    <w:p w14:paraId="53B046EB" w14:textId="7D9F1D55" w:rsidR="00354785" w:rsidRDefault="0090766D" w:rsidP="00354785">
      <w:pPr>
        <w:spacing w:after="0"/>
      </w:pPr>
      <w:r w:rsidRPr="0090766D">
        <w:t>Předseda ukončil své druhé funkční období ve funkci předsedy Komise XVIII na 75. výročním shromáždění v Tokiu v roce 2022. Následovalo po třech letech ve funkci předsedy SC-QUAL. Nový předseda bude zvolen v červnu 2025 v Janově, přičemž nominace na předsedu budou přijímány na jaře 2025.</w:t>
      </w:r>
    </w:p>
    <w:p w14:paraId="0C70CD28" w14:textId="0A1900EF" w:rsidR="0090766D" w:rsidRDefault="0090766D" w:rsidP="00354785">
      <w:pPr>
        <w:spacing w:after="0"/>
      </w:pPr>
      <w:r w:rsidRPr="0090766D">
        <w:t xml:space="preserve">Členové Komise XVIII mohou vyjádřit svůj zájem o práci ve vedení této komise, a to ve funkci </w:t>
      </w:r>
      <w:r>
        <w:t xml:space="preserve">     </w:t>
      </w:r>
      <w:r w:rsidRPr="0090766D">
        <w:t>1) zapisovatele (pro účely pořizování zápisů a pomoci při administrativě), 2) zástupce mladých odborníků nebo 3) v jedné z dílčích komisí jako místopředseda (XVIII-A Personál kvality, XVIII-B Systémy řízení kvality</w:t>
      </w:r>
      <w:r w:rsidR="00A9428A">
        <w:t>)</w:t>
      </w:r>
      <w:r w:rsidRPr="0090766D">
        <w:t>. Takový zájem by měl být vyjádřen předsedovi a/nebo předsedovi subkomise.</w:t>
      </w:r>
    </w:p>
    <w:p w14:paraId="5690FB1D" w14:textId="77777777" w:rsidR="0090766D" w:rsidRDefault="0090766D" w:rsidP="00354785">
      <w:pPr>
        <w:spacing w:after="0"/>
      </w:pPr>
    </w:p>
    <w:p w14:paraId="4412AFBD" w14:textId="3336394C" w:rsidR="0090766D" w:rsidRPr="0090766D" w:rsidRDefault="0090766D" w:rsidP="00354785">
      <w:pPr>
        <w:spacing w:after="0"/>
        <w:rPr>
          <w:b/>
          <w:bCs/>
          <w:color w:val="FF0000"/>
          <w:sz w:val="28"/>
          <w:szCs w:val="28"/>
        </w:rPr>
      </w:pPr>
      <w:r w:rsidRPr="0090766D">
        <w:rPr>
          <w:b/>
          <w:bCs/>
          <w:color w:val="FF0000"/>
          <w:sz w:val="28"/>
          <w:szCs w:val="28"/>
        </w:rPr>
        <w:t>4. MANDÁT KOMISE XVIII (13.30)</w:t>
      </w:r>
    </w:p>
    <w:p w14:paraId="51908CB7" w14:textId="77777777" w:rsidR="0090766D" w:rsidRDefault="0090766D" w:rsidP="00354785">
      <w:pPr>
        <w:spacing w:after="0"/>
      </w:pPr>
    </w:p>
    <w:p w14:paraId="2962D0AD" w14:textId="1FB0BE30" w:rsidR="0090766D" w:rsidRDefault="0090766D" w:rsidP="00354785">
      <w:pPr>
        <w:spacing w:after="0"/>
        <w:rPr>
          <w:color w:val="156082" w:themeColor="accent1"/>
        </w:rPr>
      </w:pPr>
      <w:r w:rsidRPr="0090766D">
        <w:rPr>
          <w:color w:val="156082" w:themeColor="accent1"/>
        </w:rPr>
        <w:t>4a. (13.30) Strategický plán IIW 2023-2028</w:t>
      </w:r>
    </w:p>
    <w:p w14:paraId="0963359C" w14:textId="77777777" w:rsidR="0090766D" w:rsidRPr="0090766D" w:rsidRDefault="0090766D" w:rsidP="00354785">
      <w:pPr>
        <w:spacing w:after="0"/>
      </w:pPr>
    </w:p>
    <w:p w14:paraId="12BBE20F" w14:textId="77777777" w:rsidR="0090766D" w:rsidRPr="0090766D" w:rsidRDefault="0090766D" w:rsidP="0090766D">
      <w:pPr>
        <w:spacing w:after="0"/>
      </w:pPr>
      <w:r w:rsidRPr="0090766D">
        <w:t>1. Zlepšení viditelnosti IIW prostřednictvím komunikace a marketingu</w:t>
      </w:r>
    </w:p>
    <w:p w14:paraId="4CDC1551" w14:textId="77777777" w:rsidR="0090766D" w:rsidRPr="0090766D" w:rsidRDefault="0090766D" w:rsidP="0090766D">
      <w:pPr>
        <w:spacing w:after="0"/>
      </w:pPr>
      <w:r w:rsidRPr="0090766D">
        <w:t>2. Rozšířit průmyslový význam IIW sdílením základního a aplikovaného výzkumu, osvědčených postupů a prostřednictvím standardizace.</w:t>
      </w:r>
    </w:p>
    <w:p w14:paraId="322AA349" w14:textId="77777777" w:rsidR="0090766D" w:rsidRPr="0090766D" w:rsidRDefault="0090766D" w:rsidP="0090766D">
      <w:pPr>
        <w:spacing w:after="0"/>
      </w:pPr>
      <w:r w:rsidRPr="0090766D">
        <w:t>3. Zvýšit hodnotu IIW pro komunitu a všechny zúčastněné strany.</w:t>
      </w:r>
    </w:p>
    <w:p w14:paraId="28C6FFB6" w14:textId="77777777" w:rsidR="0090766D" w:rsidRPr="0090766D" w:rsidRDefault="0090766D" w:rsidP="0090766D">
      <w:pPr>
        <w:spacing w:after="0"/>
      </w:pPr>
      <w:r w:rsidRPr="0090766D">
        <w:t>4. Zlepšovat a rozšiřovat náš systém IAB, aby vyhovoval potřebám průmyslu a celosvětové svářečské komunity.</w:t>
      </w:r>
    </w:p>
    <w:p w14:paraId="7984ABF9" w14:textId="754CBAF0" w:rsidR="0090766D" w:rsidRDefault="0090766D" w:rsidP="0090766D">
      <w:pPr>
        <w:spacing w:after="0"/>
      </w:pPr>
      <w:r w:rsidRPr="0090766D">
        <w:t>5. Optimalizovat organizační strukturu řízení tak, aby odpovídala rozšiřujícím se potřebám zúčastněných stran IIW.</w:t>
      </w:r>
    </w:p>
    <w:p w14:paraId="41653E03" w14:textId="77777777" w:rsidR="0090766D" w:rsidRDefault="0090766D" w:rsidP="0090766D">
      <w:pPr>
        <w:spacing w:after="0"/>
      </w:pPr>
    </w:p>
    <w:p w14:paraId="409C7120" w14:textId="6672FC32" w:rsidR="0090766D" w:rsidRPr="008454FD" w:rsidRDefault="0090766D" w:rsidP="0090766D">
      <w:pPr>
        <w:spacing w:after="0"/>
        <w:rPr>
          <w:color w:val="156082" w:themeColor="accent1"/>
        </w:rPr>
      </w:pPr>
      <w:r w:rsidRPr="008454FD">
        <w:rPr>
          <w:color w:val="156082" w:themeColor="accent1"/>
        </w:rPr>
        <w:t>4b. (13.30) IIW se zaměřuje na nové technologie (aktuální témata)</w:t>
      </w:r>
    </w:p>
    <w:p w14:paraId="4F1F88AC" w14:textId="77777777" w:rsidR="0090766D" w:rsidRDefault="0090766D" w:rsidP="0090766D">
      <w:pPr>
        <w:spacing w:after="0"/>
      </w:pPr>
    </w:p>
    <w:p w14:paraId="237BEC06" w14:textId="77777777" w:rsidR="008454FD" w:rsidRDefault="008454FD" w:rsidP="008454FD">
      <w:pPr>
        <w:spacing w:after="0"/>
      </w:pPr>
      <w:r>
        <w:t>1. Aditivní výroba</w:t>
      </w:r>
    </w:p>
    <w:p w14:paraId="641A5D4C" w14:textId="77777777" w:rsidR="008454FD" w:rsidRDefault="008454FD" w:rsidP="008454FD">
      <w:pPr>
        <w:spacing w:after="0"/>
      </w:pPr>
      <w:r>
        <w:t>2. Inteligentní výroba</w:t>
      </w:r>
    </w:p>
    <w:p w14:paraId="142A9CE5" w14:textId="627A1283" w:rsidR="0090766D" w:rsidRDefault="008454FD" w:rsidP="008454FD">
      <w:pPr>
        <w:spacing w:after="0"/>
      </w:pPr>
      <w:r>
        <w:t>3. Umělá inteligence</w:t>
      </w:r>
    </w:p>
    <w:p w14:paraId="277C1C91" w14:textId="77777777" w:rsidR="008454FD" w:rsidRDefault="008454FD" w:rsidP="008454FD">
      <w:pPr>
        <w:spacing w:after="0"/>
      </w:pPr>
    </w:p>
    <w:p w14:paraId="19935862" w14:textId="600A2C77" w:rsidR="008454FD" w:rsidRDefault="008454FD" w:rsidP="008454FD">
      <w:pPr>
        <w:spacing w:after="0"/>
        <w:rPr>
          <w:b/>
          <w:bCs/>
          <w:color w:val="FF0000"/>
          <w:sz w:val="28"/>
          <w:szCs w:val="28"/>
        </w:rPr>
      </w:pPr>
      <w:r w:rsidRPr="008454FD">
        <w:rPr>
          <w:b/>
          <w:bCs/>
          <w:color w:val="FF0000"/>
          <w:sz w:val="28"/>
          <w:szCs w:val="28"/>
        </w:rPr>
        <w:t>5. XVIII-B SYSTÉMY ŘÍZENÍ KVALITY - INDERPAL JASWAL (CAN) (13.35)</w:t>
      </w:r>
    </w:p>
    <w:p w14:paraId="154FC8C6" w14:textId="77777777" w:rsidR="008454FD" w:rsidRDefault="008454FD" w:rsidP="008454FD">
      <w:pPr>
        <w:spacing w:after="0"/>
        <w:rPr>
          <w:b/>
          <w:bCs/>
          <w:color w:val="FF0000"/>
          <w:sz w:val="28"/>
          <w:szCs w:val="28"/>
        </w:rPr>
      </w:pPr>
    </w:p>
    <w:p w14:paraId="0C2EBC15" w14:textId="77777777" w:rsidR="008454FD" w:rsidRPr="008454FD" w:rsidRDefault="008454FD" w:rsidP="008454FD">
      <w:pPr>
        <w:spacing w:after="0"/>
        <w:rPr>
          <w:color w:val="156082" w:themeColor="accent1"/>
        </w:rPr>
      </w:pPr>
      <w:r w:rsidRPr="008454FD">
        <w:rPr>
          <w:color w:val="156082" w:themeColor="accent1"/>
        </w:rPr>
        <w:t>5a. (13.35 - 13.50) "Zlepšení kvality a efektivity svařování s využitím normy ISO 3834 - návod pro implementaci ve firmě"</w:t>
      </w:r>
    </w:p>
    <w:p w14:paraId="1D7F771C" w14:textId="77F239C8" w:rsidR="008454FD" w:rsidRDefault="008454FD" w:rsidP="008454FD">
      <w:pPr>
        <w:spacing w:after="0"/>
        <w:rPr>
          <w:color w:val="156082" w:themeColor="accent1"/>
        </w:rPr>
      </w:pPr>
      <w:r w:rsidRPr="008454FD">
        <w:rPr>
          <w:color w:val="156082" w:themeColor="accent1"/>
        </w:rPr>
        <w:t>(viz SC-QUAL-218r1-15, 2. návrh (2016), aktualizace SC-QUAL-145R4-10)</w:t>
      </w:r>
    </w:p>
    <w:p w14:paraId="6267C80B" w14:textId="77777777" w:rsidR="008454FD" w:rsidRPr="008454FD" w:rsidRDefault="008454FD" w:rsidP="008454FD">
      <w:pPr>
        <w:spacing w:after="0"/>
      </w:pPr>
    </w:p>
    <w:p w14:paraId="34C77C5E" w14:textId="3517F159" w:rsidR="008454FD" w:rsidRDefault="008454FD" w:rsidP="008454FD">
      <w:pPr>
        <w:spacing w:after="0"/>
      </w:pPr>
      <w:r w:rsidRPr="008454FD">
        <w:t>Norma ISO 3834 vznikla v roce 1978 jako dvoustránková norma s názvem "Svařování</w:t>
      </w:r>
      <w:r w:rsidR="00A9428A">
        <w:t>“.</w:t>
      </w:r>
      <w:r w:rsidRPr="008454FD">
        <w:t xml:space="preserve"> Byla upravena normou ISO 6213:1983 Svařování</w:t>
      </w:r>
      <w:r w:rsidR="00C16A98">
        <w:t>,</w:t>
      </w:r>
      <w:r w:rsidRPr="008454FD">
        <w:t xml:space="preserve"> která byla aktualizována v roce 1989. Obě byly nahrazeny v roce </w:t>
      </w:r>
      <w:r w:rsidRPr="008454FD">
        <w:lastRenderedPageBreak/>
        <w:t>1994 vydáním nové čtyřdílné řady norem ISO 3834 Požadavky na kvalitu svařování - Tavné svařování kovových materiálů. V roce 2005 byl upraven hlavní název, řada byla dále aktualizována a byla přidána "Část 5: Dokumenty, s nimiž je nutné se seznámit, aby bylo možné prohlásit shodu s požadavky na jakost ISO 3834-2, ISO 3834-3 nebo ISO 3834-4". Část 5 byla aktualizována v roce 2015. Části 1 až 5 byly aktualizovány a zveřejněny v roce 2021.</w:t>
      </w:r>
    </w:p>
    <w:p w14:paraId="7158E83A" w14:textId="77777777" w:rsidR="008454FD" w:rsidRDefault="008454FD" w:rsidP="008454FD">
      <w:pPr>
        <w:spacing w:after="0"/>
      </w:pPr>
      <w:r>
        <w:t>Část 6 byla původně technickou zprávou vydanou v roce 2007. V roce 2024 byla revidována a vydána jako norma. Mezi významné změny normy ISO 3834-6:2024 patří:</w:t>
      </w:r>
    </w:p>
    <w:p w14:paraId="7AD1E437" w14:textId="77777777" w:rsidR="008454FD" w:rsidRDefault="008454FD" w:rsidP="008454FD">
      <w:pPr>
        <w:spacing w:after="0"/>
      </w:pPr>
      <w:r>
        <w:t>- Technická zpráva byla změněna na normu ISO;</w:t>
      </w:r>
    </w:p>
    <w:p w14:paraId="612D0897" w14:textId="558F9477" w:rsidR="008454FD" w:rsidRDefault="008454FD" w:rsidP="008454FD">
      <w:pPr>
        <w:spacing w:after="0"/>
      </w:pPr>
      <w:r>
        <w:t>- odkaz na IIW a IAB byl vypuštěn kvůli pravidlům pro hospodářskou soutěž;</w:t>
      </w:r>
    </w:p>
    <w:p w14:paraId="17AF7761" w14:textId="77777777" w:rsidR="008454FD" w:rsidRDefault="008454FD" w:rsidP="008454FD">
      <w:pPr>
        <w:spacing w:after="0"/>
      </w:pPr>
      <w:r>
        <w:t>- článek 11 byl aktualizován tak, aby se zabýval vizuální kontrolou/zkoušením svarů;</w:t>
      </w:r>
    </w:p>
    <w:p w14:paraId="418374A4" w14:textId="77777777" w:rsidR="008454FD" w:rsidRDefault="008454FD" w:rsidP="008454FD">
      <w:pPr>
        <w:spacing w:after="0"/>
      </w:pPr>
      <w:r>
        <w:t>- sladěna s vydáním normy ISO 14731 z roku 2009.</w:t>
      </w:r>
    </w:p>
    <w:p w14:paraId="178FD11F" w14:textId="6B1E9E74" w:rsidR="008454FD" w:rsidRDefault="008454FD" w:rsidP="008454FD">
      <w:pPr>
        <w:spacing w:after="0"/>
      </w:pPr>
      <w:r>
        <w:t>SC-QUAL-145R4-10 byl napsán podle ISO 3834-2005. Předpokládá se (ale není ověřeno), že základem byl dokument z Finska (2008).</w:t>
      </w:r>
    </w:p>
    <w:p w14:paraId="4CFD7642" w14:textId="340BD3FA" w:rsidR="008454FD" w:rsidRDefault="008454FD" w:rsidP="008454FD">
      <w:pPr>
        <w:spacing w:after="0"/>
      </w:pPr>
      <w:r w:rsidRPr="008454FD">
        <w:t>(Poznámka: V podstatě duplikát IIW SC-QUAL-145R4-10, bez kritérií auditu od DVS Z</w:t>
      </w:r>
      <w:r w:rsidR="00C16A98">
        <w:t>ERT</w:t>
      </w:r>
      <w:r w:rsidRPr="008454FD">
        <w:t>)</w:t>
      </w:r>
    </w:p>
    <w:p w14:paraId="2CC541E5" w14:textId="472316A5" w:rsidR="008454FD" w:rsidRDefault="008454FD" w:rsidP="008454FD">
      <w:pPr>
        <w:spacing w:after="0"/>
      </w:pPr>
      <w:r w:rsidRPr="008454FD">
        <w:t xml:space="preserve">V rámci SC-QUAL byla provedena redakční a formátovací revize původního dokumentu pro rok 2015. Vzhledem k nedávným aktualizacím řady ISO 3834 (2021) a nejnovějšímu vydání normy ISO 3834-6 (únor 2024) se navrhuje technická revize, která se bude zabývat změnami </w:t>
      </w:r>
      <w:r w:rsidR="00C16A98">
        <w:t xml:space="preserve">                     </w:t>
      </w:r>
      <w:r w:rsidRPr="008454FD">
        <w:t>a aktualizacemi, a také redakční revize. Ta by zahrnovala vyčištění kritérií auditu se záměrem poskytnout vodítko pro interní audity společnosti.</w:t>
      </w:r>
    </w:p>
    <w:p w14:paraId="2AC5AE1F" w14:textId="77777777" w:rsidR="008454FD" w:rsidRDefault="008454FD" w:rsidP="008454FD">
      <w:pPr>
        <w:spacing w:after="0"/>
      </w:pPr>
    </w:p>
    <w:p w14:paraId="79D80D8A" w14:textId="241F445E" w:rsidR="008454FD" w:rsidRPr="008454FD" w:rsidRDefault="008454FD" w:rsidP="008454FD">
      <w:pPr>
        <w:spacing w:after="0"/>
        <w:rPr>
          <w:color w:val="156082" w:themeColor="accent1"/>
        </w:rPr>
      </w:pPr>
      <w:r w:rsidRPr="008454FD">
        <w:rPr>
          <w:color w:val="156082" w:themeColor="accent1"/>
        </w:rPr>
        <w:t>5b. (13.50 - 14.00) "Srovnávací studie metod pro audity výrobců svařováním"</w:t>
      </w:r>
    </w:p>
    <w:p w14:paraId="5E84BF8F" w14:textId="708C5C8B" w:rsidR="008454FD" w:rsidRPr="008454FD" w:rsidRDefault="008454FD" w:rsidP="008454FD">
      <w:pPr>
        <w:spacing w:after="0"/>
        <w:rPr>
          <w:color w:val="156082" w:themeColor="accent1"/>
        </w:rPr>
      </w:pPr>
      <w:r w:rsidRPr="008454FD">
        <w:rPr>
          <w:color w:val="156082" w:themeColor="accent1"/>
        </w:rPr>
        <w:t>(číslo dokumentu nebylo přiděleno)</w:t>
      </w:r>
    </w:p>
    <w:p w14:paraId="0BFCD0AC" w14:textId="77777777" w:rsidR="008454FD" w:rsidRDefault="008454FD" w:rsidP="008454FD">
      <w:pPr>
        <w:spacing w:after="0"/>
      </w:pPr>
    </w:p>
    <w:p w14:paraId="1F250A61" w14:textId="520459FB" w:rsidR="008454FD" w:rsidRDefault="008454FD" w:rsidP="008454FD">
      <w:pPr>
        <w:spacing w:after="0"/>
      </w:pPr>
      <w:r w:rsidRPr="008454FD">
        <w:t>Dokument</w:t>
      </w:r>
      <w:r>
        <w:t>y</w:t>
      </w:r>
      <w:r w:rsidRPr="008454FD">
        <w:t xml:space="preserve"> pro porovnání CWB 47.1, AWS B5.17, AWS QC17, ISO 3834, NZS 3834 PLUS a případně dalších.</w:t>
      </w:r>
    </w:p>
    <w:p w14:paraId="61D8B77E" w14:textId="21C8E5F1" w:rsidR="008454FD" w:rsidRDefault="008454FD" w:rsidP="008454FD">
      <w:pPr>
        <w:spacing w:after="0"/>
      </w:pPr>
      <w:r w:rsidRPr="008454FD">
        <w:rPr>
          <w:noProof/>
        </w:rPr>
        <w:drawing>
          <wp:inline distT="0" distB="0" distL="0" distR="0" wp14:anchorId="332A0C25" wp14:editId="37A25A3A">
            <wp:extent cx="5759450" cy="662305"/>
            <wp:effectExtent l="0" t="0" r="0" b="4445"/>
            <wp:docPr id="151576942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769420" name=""/>
                    <pic:cNvPicPr/>
                  </pic:nvPicPr>
                  <pic:blipFill>
                    <a:blip r:embed="rId14"/>
                    <a:stretch>
                      <a:fillRect/>
                    </a:stretch>
                  </pic:blipFill>
                  <pic:spPr>
                    <a:xfrm>
                      <a:off x="0" y="0"/>
                      <a:ext cx="5759450" cy="662305"/>
                    </a:xfrm>
                    <a:prstGeom prst="rect">
                      <a:avLst/>
                    </a:prstGeom>
                  </pic:spPr>
                </pic:pic>
              </a:graphicData>
            </a:graphic>
          </wp:inline>
        </w:drawing>
      </w:r>
    </w:p>
    <w:p w14:paraId="56273FC8" w14:textId="77777777" w:rsidR="008454FD" w:rsidRDefault="008454FD" w:rsidP="008454FD">
      <w:pPr>
        <w:spacing w:after="0"/>
      </w:pPr>
    </w:p>
    <w:p w14:paraId="498BB84E" w14:textId="77777777" w:rsidR="008454FD" w:rsidRDefault="008454FD" w:rsidP="008454FD">
      <w:pPr>
        <w:spacing w:after="0"/>
      </w:pPr>
      <w:r>
        <w:t>Přehled může zahrnovat:</w:t>
      </w:r>
    </w:p>
    <w:p w14:paraId="102A71FD" w14:textId="77777777" w:rsidR="008454FD" w:rsidRDefault="008454FD" w:rsidP="008454FD">
      <w:pPr>
        <w:spacing w:after="0"/>
      </w:pPr>
      <w:r>
        <w:t xml:space="preserve">Kanada - CSA W47.1, CSA W47.2, CISC </w:t>
      </w:r>
      <w:proofErr w:type="spellStart"/>
      <w:r>
        <w:t>Guideline</w:t>
      </w:r>
      <w:proofErr w:type="spellEnd"/>
      <w:r>
        <w:t xml:space="preserve"> a CISC </w:t>
      </w:r>
      <w:proofErr w:type="spellStart"/>
      <w:r>
        <w:t>Bridge</w:t>
      </w:r>
      <w:proofErr w:type="spellEnd"/>
      <w:r>
        <w:t xml:space="preserve"> </w:t>
      </w:r>
      <w:proofErr w:type="spellStart"/>
      <w:r>
        <w:t>Guideline</w:t>
      </w:r>
      <w:proofErr w:type="spellEnd"/>
      <w:r>
        <w:t>.</w:t>
      </w:r>
    </w:p>
    <w:p w14:paraId="4763AEBB" w14:textId="77777777" w:rsidR="008454FD" w:rsidRDefault="008454FD" w:rsidP="008454FD">
      <w:pPr>
        <w:spacing w:after="0"/>
      </w:pPr>
      <w:r>
        <w:t>Evropa - ISO 3834, EN 15085 železniční, EN 1090 konstrukční</w:t>
      </w:r>
    </w:p>
    <w:p w14:paraId="56332222" w14:textId="77777777" w:rsidR="008454FD" w:rsidRDefault="008454FD" w:rsidP="008454FD">
      <w:pPr>
        <w:spacing w:after="0"/>
      </w:pPr>
      <w:r>
        <w:t xml:space="preserve">Austrálie - ISO 3834, certifikace </w:t>
      </w:r>
      <w:proofErr w:type="spellStart"/>
      <w:r>
        <w:t>Australian</w:t>
      </w:r>
      <w:proofErr w:type="spellEnd"/>
      <w:r>
        <w:t xml:space="preserve"> Steel Institute</w:t>
      </w:r>
    </w:p>
    <w:p w14:paraId="73982188" w14:textId="02B16944" w:rsidR="008454FD" w:rsidRDefault="008454FD" w:rsidP="008454FD">
      <w:pPr>
        <w:spacing w:after="0"/>
      </w:pPr>
      <w:r>
        <w:t xml:space="preserve">USA - AWS </w:t>
      </w:r>
      <w:proofErr w:type="spellStart"/>
      <w:r>
        <w:t>Certified</w:t>
      </w:r>
      <w:proofErr w:type="spellEnd"/>
      <w:r>
        <w:t xml:space="preserve"> </w:t>
      </w:r>
      <w:proofErr w:type="spellStart"/>
      <w:r>
        <w:t>Welding</w:t>
      </w:r>
      <w:proofErr w:type="spellEnd"/>
      <w:r>
        <w:t xml:space="preserve"> </w:t>
      </w:r>
      <w:proofErr w:type="spellStart"/>
      <w:r>
        <w:t>Fabricator</w:t>
      </w:r>
      <w:proofErr w:type="spellEnd"/>
      <w:r>
        <w:t xml:space="preserve"> (certifikovaný svářeč)</w:t>
      </w:r>
    </w:p>
    <w:p w14:paraId="4752A8BF" w14:textId="6F93D4F7" w:rsidR="008454FD" w:rsidRDefault="00426B87" w:rsidP="008454FD">
      <w:pPr>
        <w:spacing w:after="0"/>
      </w:pPr>
      <w:r>
        <w:t>Zaměření</w:t>
      </w:r>
      <w:r w:rsidR="008454FD">
        <w:t xml:space="preserve"> - zjistit, co je univerzální a co může být specifické pro konkrétní systém auditu.</w:t>
      </w:r>
    </w:p>
    <w:p w14:paraId="489109ED" w14:textId="4920869F" w:rsidR="008454FD" w:rsidRDefault="008454FD" w:rsidP="008454FD">
      <w:pPr>
        <w:spacing w:after="0"/>
      </w:pPr>
      <w:r>
        <w:t>Vypracovat osvědčený nebo doporučený postup pro případný harmonizovaný seznam položek, které by měly být zahrnuty do auditu svařovny.</w:t>
      </w:r>
    </w:p>
    <w:p w14:paraId="4F022002" w14:textId="77777777" w:rsidR="00426B87" w:rsidRDefault="00426B87" w:rsidP="008454FD">
      <w:pPr>
        <w:spacing w:after="0"/>
      </w:pPr>
    </w:p>
    <w:p w14:paraId="5D375614" w14:textId="7019DA44" w:rsidR="00426B87" w:rsidRDefault="00426B87" w:rsidP="008454FD">
      <w:pPr>
        <w:spacing w:after="0"/>
        <w:rPr>
          <w:color w:val="156082" w:themeColor="accent1"/>
        </w:rPr>
      </w:pPr>
      <w:r w:rsidRPr="00426B87">
        <w:rPr>
          <w:color w:val="156082" w:themeColor="accent1"/>
        </w:rPr>
        <w:t>5c. (14.00 - 14.05) "Soupis požadavků na systém řízení kvality svařování používaných celosvětově v aplikacích obloukového svařování" (SC-QUAL-217r1-15) (číslo dokumentu XVIII nebylo přiděleno)</w:t>
      </w:r>
    </w:p>
    <w:p w14:paraId="1FCFBFEF" w14:textId="77777777" w:rsidR="00426B87" w:rsidRDefault="00426B87" w:rsidP="008454FD">
      <w:pPr>
        <w:spacing w:after="0"/>
        <w:rPr>
          <w:color w:val="156082" w:themeColor="accent1"/>
        </w:rPr>
      </w:pPr>
    </w:p>
    <w:p w14:paraId="0F472EE9" w14:textId="3F153C5A" w:rsidR="00426B87" w:rsidRPr="00426B87" w:rsidRDefault="00426B87" w:rsidP="008454FD">
      <w:pPr>
        <w:spacing w:after="0"/>
      </w:pPr>
      <w:r w:rsidRPr="00426B87">
        <w:t>Vypuštěn jako rejstřík a přepracován na přehledový dokument. Obsah bude podobný s</w:t>
      </w:r>
      <w:r>
        <w:t> </w:t>
      </w:r>
      <w:r w:rsidRPr="00426B87">
        <w:t>technickými odkazy v</w:t>
      </w:r>
      <w:r>
        <w:t> </w:t>
      </w:r>
      <w:r w:rsidRPr="00426B87">
        <w:t xml:space="preserve">uvedených kategoriích, ale může se prolínat se zeměmi EU, jako příklad. Je zapotřebí další podpora členů </w:t>
      </w:r>
      <w:r w:rsidR="00C16A98">
        <w:t>komise</w:t>
      </w:r>
      <w:r w:rsidRPr="00426B87">
        <w:t xml:space="preserve"> XVIII, aby poskytli informace.</w:t>
      </w:r>
    </w:p>
    <w:p w14:paraId="6E941D2B" w14:textId="77777777" w:rsidR="008454FD" w:rsidRDefault="008454FD" w:rsidP="008454FD">
      <w:pPr>
        <w:spacing w:after="0"/>
      </w:pPr>
    </w:p>
    <w:p w14:paraId="7B545B63" w14:textId="14C7B922" w:rsidR="00426B87" w:rsidRDefault="00426B87" w:rsidP="008454FD">
      <w:pPr>
        <w:spacing w:after="0"/>
      </w:pPr>
      <w:r w:rsidRPr="00426B87">
        <w:rPr>
          <w:noProof/>
        </w:rPr>
        <w:drawing>
          <wp:inline distT="0" distB="0" distL="0" distR="0" wp14:anchorId="4D15FF8E" wp14:editId="5D71FA80">
            <wp:extent cx="5759450" cy="642620"/>
            <wp:effectExtent l="0" t="0" r="0" b="5080"/>
            <wp:docPr id="2519930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9305" name=""/>
                    <pic:cNvPicPr/>
                  </pic:nvPicPr>
                  <pic:blipFill>
                    <a:blip r:embed="rId15"/>
                    <a:stretch>
                      <a:fillRect/>
                    </a:stretch>
                  </pic:blipFill>
                  <pic:spPr>
                    <a:xfrm>
                      <a:off x="0" y="0"/>
                      <a:ext cx="5759450" cy="642620"/>
                    </a:xfrm>
                    <a:prstGeom prst="rect">
                      <a:avLst/>
                    </a:prstGeom>
                  </pic:spPr>
                </pic:pic>
              </a:graphicData>
            </a:graphic>
          </wp:inline>
        </w:drawing>
      </w:r>
    </w:p>
    <w:p w14:paraId="6A9D3113" w14:textId="77777777" w:rsidR="00426B87" w:rsidRDefault="00426B87" w:rsidP="00426B87">
      <w:pPr>
        <w:spacing w:after="0"/>
      </w:pPr>
    </w:p>
    <w:p w14:paraId="7050B92E" w14:textId="7C051901" w:rsidR="00426B87" w:rsidRDefault="00426B87" w:rsidP="00426B87">
      <w:pPr>
        <w:spacing w:after="0"/>
      </w:pPr>
      <w:r>
        <w:t>Kategorie výrobků zahrnují:</w:t>
      </w:r>
    </w:p>
    <w:p w14:paraId="63DD0FB9" w14:textId="77777777" w:rsidR="00426B87" w:rsidRDefault="00426B87" w:rsidP="00426B87">
      <w:pPr>
        <w:spacing w:after="0"/>
      </w:pPr>
      <w:r>
        <w:t>1) Ocelové konstrukce pro inženýrské stavby</w:t>
      </w:r>
    </w:p>
    <w:p w14:paraId="32B10958" w14:textId="77777777" w:rsidR="00426B87" w:rsidRDefault="00426B87" w:rsidP="00426B87">
      <w:pPr>
        <w:spacing w:after="0"/>
      </w:pPr>
      <w:r>
        <w:t>2) Hliníkové konstrukce pro inženýrské stavby</w:t>
      </w:r>
    </w:p>
    <w:p w14:paraId="4CC04657" w14:textId="77777777" w:rsidR="00426B87" w:rsidRDefault="00426B87" w:rsidP="00426B87">
      <w:pPr>
        <w:spacing w:after="0"/>
      </w:pPr>
      <w:r>
        <w:t>3) Tlaková zařízení</w:t>
      </w:r>
    </w:p>
    <w:p w14:paraId="07575B7D" w14:textId="77777777" w:rsidR="00426B87" w:rsidRDefault="00426B87" w:rsidP="00426B87">
      <w:pPr>
        <w:spacing w:after="0"/>
      </w:pPr>
      <w:r>
        <w:t>4) Kotle</w:t>
      </w:r>
    </w:p>
    <w:p w14:paraId="3D5D82C2" w14:textId="77777777" w:rsidR="00426B87" w:rsidRDefault="00426B87" w:rsidP="00426B87">
      <w:pPr>
        <w:spacing w:after="0"/>
      </w:pPr>
      <w:r>
        <w:t>5) Potrubí (plynná a kapalná)</w:t>
      </w:r>
    </w:p>
    <w:p w14:paraId="476E16BB" w14:textId="77777777" w:rsidR="00426B87" w:rsidRDefault="00426B87" w:rsidP="00426B87">
      <w:pPr>
        <w:spacing w:after="0"/>
      </w:pPr>
      <w:r>
        <w:t>6) Železniční vozidla</w:t>
      </w:r>
    </w:p>
    <w:p w14:paraId="656ADDFF" w14:textId="77777777" w:rsidR="00426B87" w:rsidRDefault="00426B87" w:rsidP="00426B87">
      <w:pPr>
        <w:spacing w:after="0"/>
      </w:pPr>
      <w:r>
        <w:t>7) Větrná energie</w:t>
      </w:r>
    </w:p>
    <w:p w14:paraId="35820309" w14:textId="4FD36637" w:rsidR="00426B87" w:rsidRDefault="00426B87" w:rsidP="00426B87">
      <w:pPr>
        <w:spacing w:after="0"/>
      </w:pPr>
      <w:r>
        <w:t>8) Jaderné elektrárny</w:t>
      </w:r>
    </w:p>
    <w:p w14:paraId="17F255E7" w14:textId="77777777" w:rsidR="00426B87" w:rsidRDefault="00426B87" w:rsidP="00426B87">
      <w:pPr>
        <w:spacing w:after="0"/>
      </w:pPr>
    </w:p>
    <w:p w14:paraId="2927ADAD" w14:textId="77777777" w:rsidR="00426B87" w:rsidRDefault="00426B87" w:rsidP="00426B87">
      <w:pPr>
        <w:spacing w:after="0"/>
      </w:pPr>
      <w:r>
        <w:t>Je třeba zahrnout tyto položky:</w:t>
      </w:r>
    </w:p>
    <w:p w14:paraId="723E8160" w14:textId="77777777" w:rsidR="00426B87" w:rsidRDefault="00426B87" w:rsidP="00426B87">
      <w:pPr>
        <w:spacing w:after="0"/>
      </w:pPr>
      <w:r>
        <w:t>1) Zákonný požadavek (vládní zákon)</w:t>
      </w:r>
    </w:p>
    <w:p w14:paraId="62F638EB" w14:textId="77777777" w:rsidR="00426B87" w:rsidRDefault="00426B87" w:rsidP="00426B87">
      <w:pPr>
        <w:spacing w:after="0"/>
      </w:pPr>
      <w:r>
        <w:t>2) Technická norma výrobku</w:t>
      </w:r>
    </w:p>
    <w:p w14:paraId="1AF28D54" w14:textId="77777777" w:rsidR="00426B87" w:rsidRDefault="00426B87" w:rsidP="00426B87">
      <w:pPr>
        <w:spacing w:after="0"/>
      </w:pPr>
      <w:r>
        <w:t>3) Požadavky (ano/ne) na:</w:t>
      </w:r>
    </w:p>
    <w:p w14:paraId="66248FF4" w14:textId="77777777" w:rsidR="00426B87" w:rsidRDefault="00426B87" w:rsidP="00426B87">
      <w:pPr>
        <w:spacing w:after="0"/>
      </w:pPr>
      <w:r>
        <w:t>a. certifikace výrobce</w:t>
      </w:r>
    </w:p>
    <w:p w14:paraId="23B36593" w14:textId="77777777" w:rsidR="00426B87" w:rsidRDefault="00426B87" w:rsidP="00426B87">
      <w:pPr>
        <w:spacing w:after="0"/>
      </w:pPr>
      <w:r>
        <w:t>b. certifikace postupu</w:t>
      </w:r>
    </w:p>
    <w:p w14:paraId="344C7B64" w14:textId="77777777" w:rsidR="00426B87" w:rsidRDefault="00426B87" w:rsidP="00426B87">
      <w:pPr>
        <w:spacing w:after="0"/>
      </w:pPr>
      <w:r>
        <w:t>c. kvalifikace svářeče a obsluhy</w:t>
      </w:r>
    </w:p>
    <w:p w14:paraId="75266DA3" w14:textId="77777777" w:rsidR="00426B87" w:rsidRDefault="00426B87" w:rsidP="00426B87">
      <w:pPr>
        <w:spacing w:after="0"/>
      </w:pPr>
      <w:r>
        <w:t>d. koordinátora svařování</w:t>
      </w:r>
    </w:p>
    <w:p w14:paraId="5E48FCE6" w14:textId="77777777" w:rsidR="00426B87" w:rsidRDefault="00426B87" w:rsidP="00426B87">
      <w:pPr>
        <w:spacing w:after="0"/>
      </w:pPr>
      <w:r>
        <w:t>e. NDT technik</w:t>
      </w:r>
    </w:p>
    <w:p w14:paraId="239FCF9F" w14:textId="311AF8F8" w:rsidR="00426B87" w:rsidRDefault="00426B87" w:rsidP="00426B87">
      <w:pPr>
        <w:spacing w:after="0"/>
      </w:pPr>
      <w:r>
        <w:t>f. svářečský inspektor</w:t>
      </w:r>
    </w:p>
    <w:p w14:paraId="65F329F0" w14:textId="77777777" w:rsidR="00426B87" w:rsidRDefault="00426B87" w:rsidP="00426B87">
      <w:pPr>
        <w:spacing w:after="0"/>
      </w:pPr>
    </w:p>
    <w:p w14:paraId="63953452" w14:textId="77777777" w:rsidR="00426B87" w:rsidRDefault="00426B87" w:rsidP="00426B87">
      <w:pPr>
        <w:spacing w:after="0"/>
      </w:pPr>
      <w:r>
        <w:t>Odpovědi budou seřazeny podle regionů a poté podle zemí.</w:t>
      </w:r>
    </w:p>
    <w:p w14:paraId="26AACA3A" w14:textId="77777777" w:rsidR="00426B87" w:rsidRDefault="00426B87" w:rsidP="00426B87">
      <w:pPr>
        <w:spacing w:after="0"/>
      </w:pPr>
    </w:p>
    <w:p w14:paraId="64AF28D0" w14:textId="6E0514BD" w:rsidR="00426B87" w:rsidRDefault="00426B87" w:rsidP="00426B87">
      <w:pPr>
        <w:spacing w:after="0"/>
      </w:pPr>
      <w:r>
        <w:t xml:space="preserve">Dokument byl předán </w:t>
      </w:r>
      <w:proofErr w:type="spellStart"/>
      <w:r>
        <w:t>Srini</w:t>
      </w:r>
      <w:proofErr w:type="spellEnd"/>
      <w:r>
        <w:t xml:space="preserve"> </w:t>
      </w:r>
      <w:proofErr w:type="spellStart"/>
      <w:r>
        <w:t>Iyerovi</w:t>
      </w:r>
      <w:proofErr w:type="spellEnd"/>
      <w:r>
        <w:t>, který vybere mladého odborníka (nebo více odborníků), který se bude úkolu věnovat.</w:t>
      </w:r>
    </w:p>
    <w:p w14:paraId="4B5AF39B" w14:textId="77777777" w:rsidR="00426B87" w:rsidRDefault="00426B87" w:rsidP="00426B87">
      <w:pPr>
        <w:spacing w:after="0"/>
      </w:pPr>
    </w:p>
    <w:p w14:paraId="6CF8D4D4" w14:textId="0E4E488B" w:rsidR="00426B87" w:rsidRDefault="00426B87" w:rsidP="00426B87">
      <w:pPr>
        <w:spacing w:after="0"/>
        <w:rPr>
          <w:b/>
          <w:bCs/>
          <w:color w:val="FF0000"/>
          <w:sz w:val="28"/>
          <w:szCs w:val="28"/>
        </w:rPr>
      </w:pPr>
      <w:r w:rsidRPr="00426B87">
        <w:rPr>
          <w:b/>
          <w:bCs/>
          <w:color w:val="FF0000"/>
          <w:sz w:val="28"/>
          <w:szCs w:val="28"/>
        </w:rPr>
        <w:t>6. BREAK (14.05 – 14.10)</w:t>
      </w:r>
    </w:p>
    <w:p w14:paraId="56D32367" w14:textId="77777777" w:rsidR="00C16A98" w:rsidRDefault="00C16A98" w:rsidP="00426B87">
      <w:pPr>
        <w:spacing w:after="0"/>
        <w:rPr>
          <w:b/>
          <w:bCs/>
          <w:color w:val="FF0000"/>
          <w:sz w:val="28"/>
          <w:szCs w:val="28"/>
        </w:rPr>
      </w:pPr>
    </w:p>
    <w:p w14:paraId="08C3BA3B" w14:textId="331F9486" w:rsidR="00426B87" w:rsidRDefault="00426B87" w:rsidP="00426B87">
      <w:pPr>
        <w:spacing w:after="0"/>
        <w:rPr>
          <w:b/>
          <w:bCs/>
          <w:color w:val="FF0000"/>
          <w:sz w:val="28"/>
          <w:szCs w:val="28"/>
        </w:rPr>
      </w:pPr>
      <w:r w:rsidRPr="00426B87">
        <w:rPr>
          <w:b/>
          <w:bCs/>
          <w:color w:val="FF0000"/>
          <w:sz w:val="28"/>
          <w:szCs w:val="28"/>
        </w:rPr>
        <w:t>7. XVIII- KVALIT</w:t>
      </w:r>
      <w:r w:rsidR="00C16A98">
        <w:rPr>
          <w:b/>
          <w:bCs/>
          <w:color w:val="FF0000"/>
          <w:sz w:val="28"/>
          <w:szCs w:val="28"/>
        </w:rPr>
        <w:t>A -</w:t>
      </w:r>
      <w:r w:rsidRPr="00426B87">
        <w:rPr>
          <w:b/>
          <w:bCs/>
          <w:color w:val="FF0000"/>
          <w:sz w:val="28"/>
          <w:szCs w:val="28"/>
        </w:rPr>
        <w:t xml:space="preserve"> PERSONÁL - EMANUELE GANDOLFO (IT) (14.10)</w:t>
      </w:r>
    </w:p>
    <w:p w14:paraId="78DABCE1" w14:textId="77777777" w:rsidR="00426B87" w:rsidRDefault="00426B87" w:rsidP="00426B87">
      <w:pPr>
        <w:spacing w:after="0"/>
        <w:rPr>
          <w:b/>
          <w:bCs/>
          <w:color w:val="FF0000"/>
          <w:sz w:val="28"/>
          <w:szCs w:val="28"/>
        </w:rPr>
      </w:pPr>
    </w:p>
    <w:p w14:paraId="1CAF499A" w14:textId="77777777" w:rsidR="00426B87" w:rsidRPr="00426B87" w:rsidRDefault="00426B87" w:rsidP="00426B87">
      <w:pPr>
        <w:spacing w:after="0"/>
        <w:rPr>
          <w:color w:val="156082" w:themeColor="accent1"/>
        </w:rPr>
      </w:pPr>
      <w:r w:rsidRPr="00426B87">
        <w:rPr>
          <w:color w:val="156082" w:themeColor="accent1"/>
        </w:rPr>
        <w:t>7a. (14.10 - 14.15) "Doporučení a osvědčené postupy pro kontrolu svařování - úkoly a odpovědnosti"</w:t>
      </w:r>
    </w:p>
    <w:p w14:paraId="107AF3AE" w14:textId="0BA76560" w:rsidR="00426B87" w:rsidRPr="00426B87" w:rsidRDefault="00426B87" w:rsidP="00426B87">
      <w:pPr>
        <w:spacing w:after="0"/>
        <w:rPr>
          <w:color w:val="156082" w:themeColor="accent1"/>
        </w:rPr>
      </w:pPr>
      <w:r w:rsidRPr="00426B87">
        <w:rPr>
          <w:color w:val="156082" w:themeColor="accent1"/>
        </w:rPr>
        <w:t>(XVIII-292R6-2024)</w:t>
      </w:r>
    </w:p>
    <w:p w14:paraId="4D24A0D1" w14:textId="77777777" w:rsidR="00426B87" w:rsidRDefault="00426B87" w:rsidP="00426B87">
      <w:pPr>
        <w:spacing w:after="0"/>
        <w:rPr>
          <w:color w:val="FF0000"/>
        </w:rPr>
      </w:pPr>
    </w:p>
    <w:p w14:paraId="29124DC1" w14:textId="13E61B45" w:rsidR="00426B87" w:rsidRPr="00426B87" w:rsidRDefault="00426B87" w:rsidP="00426B87">
      <w:pPr>
        <w:spacing w:after="0"/>
      </w:pPr>
      <w:r w:rsidRPr="00426B87">
        <w:t xml:space="preserve">Tento dokument byl schválen ke zveřejnění na výročním shromáždění v roce 2020 a potvrzen </w:t>
      </w:r>
      <w:r w:rsidR="00C16A98">
        <w:t xml:space="preserve">      </w:t>
      </w:r>
      <w:r w:rsidRPr="00426B87">
        <w:t>v roce 2022. Dokument byl revidován. Byla rozšířena a aktualizována bibliografie. Text dokumentu byl redakčně vylepšen. Tento dokument bude napsán jménem Komise, přičemž jako hlavní autor dokumentu byl určen Bob SHAW. V Singapuru byla nabídnuta drobná redakční vylepšení, která byla zapracována do dokumentu XVIII-292R6-2024.</w:t>
      </w:r>
    </w:p>
    <w:p w14:paraId="11C70744" w14:textId="3E3DADCB" w:rsidR="00426B87" w:rsidRDefault="00426B87" w:rsidP="00426B87">
      <w:pPr>
        <w:spacing w:after="0"/>
      </w:pPr>
      <w:r w:rsidRPr="00426B87">
        <w:t xml:space="preserve">Poznámka - Tento dokument bude před odesláním do </w:t>
      </w:r>
      <w:proofErr w:type="spellStart"/>
      <w:r w:rsidRPr="00426B87">
        <w:t>SpringerBriefs</w:t>
      </w:r>
      <w:proofErr w:type="spellEnd"/>
      <w:r w:rsidRPr="00426B87">
        <w:t xml:space="preserve"> dále přezkoumán revizní komisí zřízenou skupinou WG-TCOM.</w:t>
      </w:r>
    </w:p>
    <w:p w14:paraId="1330B867" w14:textId="77777777" w:rsidR="00426B87" w:rsidRDefault="00426B87" w:rsidP="00426B87">
      <w:pPr>
        <w:spacing w:after="0"/>
      </w:pPr>
    </w:p>
    <w:p w14:paraId="22B3659A" w14:textId="77777777" w:rsidR="00426B87" w:rsidRPr="00426B87" w:rsidRDefault="00426B87" w:rsidP="00426B87">
      <w:pPr>
        <w:spacing w:after="0"/>
        <w:rPr>
          <w:color w:val="156082" w:themeColor="accent1"/>
        </w:rPr>
      </w:pPr>
      <w:r w:rsidRPr="00426B87">
        <w:rPr>
          <w:color w:val="156082" w:themeColor="accent1"/>
        </w:rPr>
        <w:t>7b. (14.15 - 14.25) "Doporučení a osvědčené postupy pro koordinaci svařování podle ISO 14731 - Úkoly a odpovědnosti" Revize 7 - březen 2023</w:t>
      </w:r>
    </w:p>
    <w:p w14:paraId="76350AB3" w14:textId="574D8336" w:rsidR="00426B87" w:rsidRDefault="00426B87" w:rsidP="00426B87">
      <w:pPr>
        <w:spacing w:after="0"/>
        <w:rPr>
          <w:color w:val="156082" w:themeColor="accent1"/>
        </w:rPr>
      </w:pPr>
      <w:r w:rsidRPr="00426B87">
        <w:rPr>
          <w:color w:val="156082" w:themeColor="accent1"/>
        </w:rPr>
        <w:t>(XVIII-282R7-2027)</w:t>
      </w:r>
    </w:p>
    <w:p w14:paraId="0FBF65EE" w14:textId="77777777" w:rsidR="00426B87" w:rsidRDefault="00426B87" w:rsidP="00426B87">
      <w:pPr>
        <w:spacing w:after="0"/>
        <w:rPr>
          <w:color w:val="156082" w:themeColor="accent1"/>
        </w:rPr>
      </w:pPr>
    </w:p>
    <w:p w14:paraId="0447F7A1" w14:textId="6DC0957D" w:rsidR="00426B87" w:rsidRDefault="00426B87" w:rsidP="00426B87">
      <w:pPr>
        <w:spacing w:after="0"/>
      </w:pPr>
      <w:r w:rsidRPr="00426B87">
        <w:lastRenderedPageBreak/>
        <w:t xml:space="preserve">Dokument byl podrobně představen a projednán na našem předchozím průběžném zasedání </w:t>
      </w:r>
      <w:r w:rsidR="00C16A98">
        <w:t xml:space="preserve">    </w:t>
      </w:r>
      <w:r w:rsidRPr="00426B87">
        <w:t>v roce 2022, na zasedání v Tokiu v roce 2022 a znovu v Singapuru v roce 2023. V Singapuru byly navrženy další úpravy. Ty byly provedeny v současném dokumentu XVIII-282R7-2027.</w:t>
      </w:r>
    </w:p>
    <w:p w14:paraId="01452B25" w14:textId="77777777" w:rsidR="005E23DE" w:rsidRPr="00426B87" w:rsidRDefault="005E23DE" w:rsidP="00426B87">
      <w:pPr>
        <w:spacing w:after="0"/>
      </w:pPr>
    </w:p>
    <w:p w14:paraId="57F3993A" w14:textId="77777777" w:rsidR="00426B87" w:rsidRDefault="00426B87" w:rsidP="00426B87">
      <w:pPr>
        <w:spacing w:after="0"/>
      </w:pPr>
      <w:r w:rsidRPr="00426B87">
        <w:t>Tento dokument byl na výročním shromáždění v roce 2022 schválen ke zveřejnění, dokud nedojde k jeho revizi. Tento dokument bude vydán jménem Komise, přičemž jako vedoucí dokumentu byl určen Henk BODT.</w:t>
      </w:r>
    </w:p>
    <w:p w14:paraId="487D2FCA" w14:textId="77777777" w:rsidR="005E23DE" w:rsidRPr="00426B87" w:rsidRDefault="005E23DE" w:rsidP="00426B87">
      <w:pPr>
        <w:spacing w:after="0"/>
      </w:pPr>
    </w:p>
    <w:p w14:paraId="30003802" w14:textId="374A39AF" w:rsidR="00426B87" w:rsidRDefault="00426B87" w:rsidP="00426B87">
      <w:pPr>
        <w:spacing w:after="0"/>
      </w:pPr>
      <w:r w:rsidRPr="00426B87">
        <w:t xml:space="preserve">Poznámka - tento dokument bude před odesláním do </w:t>
      </w:r>
      <w:proofErr w:type="spellStart"/>
      <w:r w:rsidRPr="00426B87">
        <w:t>SpringerBriefs</w:t>
      </w:r>
      <w:proofErr w:type="spellEnd"/>
      <w:r w:rsidRPr="00426B87">
        <w:t xml:space="preserve"> dále přezkoumán revizní komisí zřízenou skupinou WG-TCOM.</w:t>
      </w:r>
    </w:p>
    <w:p w14:paraId="474DE6C4" w14:textId="77777777" w:rsidR="005E23DE" w:rsidRDefault="005E23DE" w:rsidP="00426B87">
      <w:pPr>
        <w:spacing w:after="0"/>
      </w:pPr>
    </w:p>
    <w:p w14:paraId="4081A750" w14:textId="77777777" w:rsidR="005E23DE" w:rsidRPr="005E23DE" w:rsidRDefault="005E23DE" w:rsidP="005E23DE">
      <w:pPr>
        <w:spacing w:after="0"/>
        <w:rPr>
          <w:color w:val="156082" w:themeColor="accent1"/>
        </w:rPr>
      </w:pPr>
      <w:r w:rsidRPr="005E23DE">
        <w:rPr>
          <w:color w:val="156082" w:themeColor="accent1"/>
        </w:rPr>
        <w:t>7c. (14.25 - 14.35) "Doporučení pro kompetence pracovníků zapojených do auditů k ověření shody se systémem kvality v oblasti svařování a příbuzných procesů"</w:t>
      </w:r>
    </w:p>
    <w:p w14:paraId="589BCE1B" w14:textId="48FC6DE5" w:rsidR="005E23DE" w:rsidRDefault="005E23DE" w:rsidP="005E23DE">
      <w:pPr>
        <w:spacing w:after="0"/>
        <w:rPr>
          <w:color w:val="156082" w:themeColor="accent1"/>
        </w:rPr>
      </w:pPr>
      <w:r w:rsidRPr="005E23DE">
        <w:rPr>
          <w:color w:val="156082" w:themeColor="accent1"/>
        </w:rPr>
        <w:t>XVIII-297R3-2021 (NÁVRH 3 - 2021-03-01)</w:t>
      </w:r>
    </w:p>
    <w:p w14:paraId="7AE6A56F" w14:textId="77777777" w:rsidR="005E23DE" w:rsidRDefault="005E23DE" w:rsidP="005E23DE">
      <w:pPr>
        <w:spacing w:after="0"/>
        <w:rPr>
          <w:color w:val="156082" w:themeColor="accent1"/>
        </w:rPr>
      </w:pPr>
    </w:p>
    <w:p w14:paraId="3D5DADD7" w14:textId="1847D630" w:rsidR="005E23DE" w:rsidRDefault="005E23DE" w:rsidP="005E23DE">
      <w:pPr>
        <w:spacing w:after="0"/>
        <w:rPr>
          <w:color w:val="156082" w:themeColor="accent1"/>
        </w:rPr>
      </w:pPr>
      <w:r w:rsidRPr="005E23DE">
        <w:rPr>
          <w:noProof/>
          <w:color w:val="156082" w:themeColor="accent1"/>
        </w:rPr>
        <w:drawing>
          <wp:inline distT="0" distB="0" distL="0" distR="0" wp14:anchorId="16F0A2C4" wp14:editId="6153C6FF">
            <wp:extent cx="5759450" cy="865505"/>
            <wp:effectExtent l="0" t="0" r="0" b="0"/>
            <wp:docPr id="478468962" name="Obrázek 1" descr="Obsah obrázku text, snímek obrazovky, Písmo, řada/p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468962" name="Obrázek 1" descr="Obsah obrázku text, snímek obrazovky, Písmo, řada/pruh&#10;&#10;Popis byl vytvořen automaticky"/>
                    <pic:cNvPicPr/>
                  </pic:nvPicPr>
                  <pic:blipFill>
                    <a:blip r:embed="rId16"/>
                    <a:stretch>
                      <a:fillRect/>
                    </a:stretch>
                  </pic:blipFill>
                  <pic:spPr>
                    <a:xfrm>
                      <a:off x="0" y="0"/>
                      <a:ext cx="5759450" cy="865505"/>
                    </a:xfrm>
                    <a:prstGeom prst="rect">
                      <a:avLst/>
                    </a:prstGeom>
                  </pic:spPr>
                </pic:pic>
              </a:graphicData>
            </a:graphic>
          </wp:inline>
        </w:drawing>
      </w:r>
    </w:p>
    <w:p w14:paraId="4AB734E4" w14:textId="77777777" w:rsidR="005E23DE" w:rsidRDefault="005E23DE" w:rsidP="005E23DE">
      <w:pPr>
        <w:spacing w:after="0"/>
      </w:pPr>
    </w:p>
    <w:p w14:paraId="13199C41" w14:textId="4E0D2EDE" w:rsidR="005E23DE" w:rsidRDefault="005E23DE" w:rsidP="005E23DE">
      <w:pPr>
        <w:spacing w:after="0"/>
      </w:pPr>
      <w:r w:rsidRPr="005E23DE">
        <w:t>Oblast působnosti byla rozšířena o normy ISO 14554 (odporové svařování), ISO 25239 (</w:t>
      </w:r>
      <w:r w:rsidR="00C16A98">
        <w:t xml:space="preserve">třecí </w:t>
      </w:r>
      <w:r w:rsidRPr="005E23DE">
        <w:t xml:space="preserve">svařování hliníku </w:t>
      </w:r>
      <w:r w:rsidR="00C16A98">
        <w:t xml:space="preserve">s promíšením </w:t>
      </w:r>
      <w:r w:rsidRPr="005E23DE">
        <w:t>) a dále o normy ISO 3834 a ISO 22688. Kromě toho je třeba vzít v úvahu ustanovení norem ISO/IEC 17024:2012 "Posuzování shody - Obecné požadavky na orgány provádějící certifikaci osob" a ISO/IEC 17065:2012 "Posuzování shody - Požadavky na orgány certifikující výrobky, procesy a služby".</w:t>
      </w:r>
    </w:p>
    <w:p w14:paraId="2AB314F4" w14:textId="77777777" w:rsidR="005E23DE" w:rsidRDefault="005E23DE" w:rsidP="005E23DE">
      <w:pPr>
        <w:spacing w:after="0"/>
      </w:pPr>
    </w:p>
    <w:p w14:paraId="6CE9B37F" w14:textId="505D90AE" w:rsidR="00BE6D68" w:rsidRPr="00BE6D68" w:rsidRDefault="00BE6D68" w:rsidP="00BE6D68">
      <w:pPr>
        <w:spacing w:after="0"/>
        <w:rPr>
          <w:color w:val="156082" w:themeColor="accent1"/>
        </w:rPr>
      </w:pPr>
      <w:r w:rsidRPr="00BE6D68">
        <w:rPr>
          <w:color w:val="156082" w:themeColor="accent1"/>
        </w:rPr>
        <w:t>7d. (14.35 - 14.45) "Koordinace pájení - úkoly a povinnosti"</w:t>
      </w:r>
    </w:p>
    <w:p w14:paraId="7DA050CB" w14:textId="5C980DFD" w:rsidR="005E23DE" w:rsidRPr="00BE6D68" w:rsidRDefault="00BE6D68" w:rsidP="00BE6D68">
      <w:pPr>
        <w:spacing w:after="0"/>
        <w:rPr>
          <w:color w:val="156082" w:themeColor="accent1"/>
        </w:rPr>
      </w:pPr>
      <w:r w:rsidRPr="00BE6D68">
        <w:rPr>
          <w:color w:val="156082" w:themeColor="accent1"/>
        </w:rPr>
        <w:t>(XVIII-296r3-2024)</w:t>
      </w:r>
    </w:p>
    <w:p w14:paraId="7F5E8A31" w14:textId="77777777" w:rsidR="00BE6D68" w:rsidRDefault="00BE6D68" w:rsidP="00BE6D68">
      <w:pPr>
        <w:spacing w:after="0"/>
      </w:pPr>
    </w:p>
    <w:p w14:paraId="34F82F9A" w14:textId="615B21AF" w:rsidR="00BE6D68" w:rsidRDefault="00BE6D68" w:rsidP="00BE6D68">
      <w:pPr>
        <w:spacing w:after="0"/>
      </w:pPr>
      <w:r>
        <w:t>P</w:t>
      </w:r>
      <w:r w:rsidRPr="00BE6D68">
        <w:t xml:space="preserve">ájení </w:t>
      </w:r>
      <w:r>
        <w:t xml:space="preserve">konstrukcí </w:t>
      </w:r>
      <w:r w:rsidRPr="00BE6D68">
        <w:t xml:space="preserve">bylo z původního obsahu dokumentu vypuštěno, protože norma ISO pro </w:t>
      </w:r>
      <w:r>
        <w:t>p</w:t>
      </w:r>
      <w:r w:rsidRPr="00BE6D68">
        <w:t xml:space="preserve">ájení </w:t>
      </w:r>
      <w:r>
        <w:t xml:space="preserve">konstrukcí </w:t>
      </w:r>
      <w:r w:rsidRPr="00BE6D68">
        <w:t>byla z pracovního programu C-XVIII vypuštěna. Je třeba zapojení Komise XVII. Bude vytvořena pracovní skupina, která bude pokračovat v práci na tomto aktualizovaném dokumentu, navrženém jako budoucí norma ISO.</w:t>
      </w:r>
    </w:p>
    <w:p w14:paraId="1C5540D2" w14:textId="77777777" w:rsidR="00BE6D68" w:rsidRDefault="00BE6D68" w:rsidP="00BE6D68">
      <w:pPr>
        <w:spacing w:after="0"/>
      </w:pPr>
    </w:p>
    <w:p w14:paraId="78E69153" w14:textId="3DD6F285" w:rsidR="00BE6D68" w:rsidRDefault="00BE6D68" w:rsidP="00BE6D68">
      <w:pPr>
        <w:spacing w:after="0"/>
        <w:rPr>
          <w:b/>
          <w:bCs/>
          <w:color w:val="FF0000"/>
          <w:sz w:val="28"/>
          <w:szCs w:val="28"/>
        </w:rPr>
      </w:pPr>
      <w:r w:rsidRPr="00BE6D68">
        <w:rPr>
          <w:b/>
          <w:bCs/>
          <w:color w:val="FF0000"/>
          <w:sz w:val="28"/>
          <w:szCs w:val="28"/>
        </w:rPr>
        <w:t>8. XVIII-C STANDARDY PRO ŘÍZENÍ KVALITY - BOB SHAW (USA) (14.50)</w:t>
      </w:r>
    </w:p>
    <w:p w14:paraId="20E870E5" w14:textId="77777777" w:rsidR="00BE6D68" w:rsidRDefault="00BE6D68" w:rsidP="00BE6D68">
      <w:pPr>
        <w:spacing w:after="0"/>
        <w:rPr>
          <w:b/>
          <w:bCs/>
          <w:color w:val="FF0000"/>
          <w:sz w:val="28"/>
          <w:szCs w:val="28"/>
        </w:rPr>
      </w:pPr>
    </w:p>
    <w:p w14:paraId="534FC4BE" w14:textId="77777777" w:rsidR="00BE6D68" w:rsidRPr="00BE6D68" w:rsidRDefault="00BE6D68" w:rsidP="00BE6D68">
      <w:pPr>
        <w:spacing w:after="0"/>
        <w:rPr>
          <w:color w:val="156082" w:themeColor="accent1"/>
        </w:rPr>
      </w:pPr>
      <w:r w:rsidRPr="00BE6D68">
        <w:rPr>
          <w:color w:val="156082" w:themeColor="accent1"/>
        </w:rPr>
        <w:t>8a. (14.50- 14.55) "Pájení - Požadavky na jakost pro konstrukční pájení kovových materiálů"</w:t>
      </w:r>
    </w:p>
    <w:p w14:paraId="787E44B8" w14:textId="363B8CA3" w:rsidR="00BE6D68" w:rsidRDefault="00BE6D68" w:rsidP="00BE6D68">
      <w:pPr>
        <w:spacing w:after="0"/>
        <w:rPr>
          <w:color w:val="156082" w:themeColor="accent1"/>
        </w:rPr>
      </w:pPr>
      <w:r w:rsidRPr="00BE6D68">
        <w:rPr>
          <w:color w:val="156082" w:themeColor="accent1"/>
        </w:rPr>
        <w:t>(XVIII-304-2020 Pájení - Požadavky na jakost pro pájení kovových materiálů (KONCEPCE 2020-07-01)</w:t>
      </w:r>
    </w:p>
    <w:p w14:paraId="2969E829" w14:textId="77777777" w:rsidR="00C16A98" w:rsidRDefault="00C16A98" w:rsidP="00BE6D68">
      <w:pPr>
        <w:spacing w:after="0"/>
        <w:rPr>
          <w:color w:val="156082" w:themeColor="accent1"/>
        </w:rPr>
      </w:pPr>
    </w:p>
    <w:p w14:paraId="4F3549C9" w14:textId="6EDB9358" w:rsidR="00BE6D68" w:rsidRDefault="00BE6D68" w:rsidP="00BE6D68">
      <w:pPr>
        <w:spacing w:after="0"/>
      </w:pPr>
      <w:r w:rsidRPr="00BE6D68">
        <w:t>Projekt byl zrušen na výročním shromáždění v Singapuru a zrušení bylo oznámeno ISO.</w:t>
      </w:r>
    </w:p>
    <w:p w14:paraId="28CCAE5B" w14:textId="77777777" w:rsidR="00BE6D68" w:rsidRDefault="00BE6D68" w:rsidP="00BE6D68">
      <w:pPr>
        <w:spacing w:after="0"/>
      </w:pPr>
    </w:p>
    <w:p w14:paraId="0CC587E8" w14:textId="77777777" w:rsidR="00C16A98" w:rsidRDefault="00C16A98" w:rsidP="00BE6D68">
      <w:pPr>
        <w:spacing w:after="0"/>
        <w:rPr>
          <w:color w:val="156082" w:themeColor="accent1"/>
        </w:rPr>
      </w:pPr>
    </w:p>
    <w:p w14:paraId="1CEDD17A" w14:textId="77777777" w:rsidR="00C16A98" w:rsidRDefault="00C16A98" w:rsidP="00BE6D68">
      <w:pPr>
        <w:spacing w:after="0"/>
        <w:rPr>
          <w:color w:val="156082" w:themeColor="accent1"/>
        </w:rPr>
      </w:pPr>
    </w:p>
    <w:p w14:paraId="59A5F01F" w14:textId="10FB8A1A" w:rsidR="00BE6D68" w:rsidRDefault="00BE6D68" w:rsidP="00BE6D68">
      <w:pPr>
        <w:spacing w:after="0"/>
        <w:rPr>
          <w:color w:val="156082" w:themeColor="accent1"/>
        </w:rPr>
      </w:pPr>
      <w:r w:rsidRPr="00BE6D68">
        <w:rPr>
          <w:color w:val="156082" w:themeColor="accent1"/>
        </w:rPr>
        <w:t>8b. (14.50 - 14.55) ISO 22688 "Pájení - Požadavky na kvalitu pájení kovových materiálů"</w:t>
      </w:r>
    </w:p>
    <w:p w14:paraId="390C5B37" w14:textId="77777777" w:rsidR="00BE6D68" w:rsidRDefault="00BE6D68" w:rsidP="00BE6D68">
      <w:pPr>
        <w:spacing w:after="0"/>
        <w:rPr>
          <w:color w:val="156082" w:themeColor="accent1"/>
        </w:rPr>
      </w:pPr>
    </w:p>
    <w:p w14:paraId="613F022D" w14:textId="13836B42" w:rsidR="00BE6D68" w:rsidRDefault="0011512B" w:rsidP="00BE6D68">
      <w:pPr>
        <w:spacing w:after="0"/>
      </w:pPr>
      <w:r w:rsidRPr="0011512B">
        <w:t>Tato norma byla zveřejněna v dubnu 2020 a přibližně za rok bude podrobena pravidelnému přezkumu. V tuto chvíli není třeba přijímat žádná opatření.</w:t>
      </w:r>
    </w:p>
    <w:p w14:paraId="78B1BFE8" w14:textId="77777777" w:rsidR="0011512B" w:rsidRPr="0011512B" w:rsidRDefault="0011512B" w:rsidP="00BE6D68">
      <w:pPr>
        <w:spacing w:after="0"/>
        <w:rPr>
          <w:b/>
          <w:bCs/>
          <w:color w:val="FF0000"/>
          <w:sz w:val="28"/>
          <w:szCs w:val="28"/>
        </w:rPr>
      </w:pPr>
    </w:p>
    <w:p w14:paraId="0F6605C4" w14:textId="41334CBF" w:rsidR="0011512B" w:rsidRDefault="0011512B" w:rsidP="00BE6D68">
      <w:pPr>
        <w:spacing w:after="0"/>
        <w:rPr>
          <w:b/>
          <w:bCs/>
          <w:color w:val="FF0000"/>
          <w:sz w:val="28"/>
          <w:szCs w:val="28"/>
        </w:rPr>
      </w:pPr>
      <w:r w:rsidRPr="0011512B">
        <w:rPr>
          <w:b/>
          <w:bCs/>
          <w:color w:val="FF0000"/>
          <w:sz w:val="28"/>
          <w:szCs w:val="28"/>
        </w:rPr>
        <w:t>9. OSTATNÍ DOKUMENTY (15.00)</w:t>
      </w:r>
    </w:p>
    <w:p w14:paraId="62548836" w14:textId="77777777" w:rsidR="0011512B" w:rsidRPr="0011512B" w:rsidRDefault="0011512B" w:rsidP="00BE6D68">
      <w:pPr>
        <w:spacing w:after="0"/>
        <w:rPr>
          <w:color w:val="156082" w:themeColor="accent1"/>
        </w:rPr>
      </w:pPr>
    </w:p>
    <w:p w14:paraId="2E294FD1" w14:textId="77777777" w:rsidR="0011512B" w:rsidRPr="0011512B" w:rsidRDefault="0011512B" w:rsidP="0011512B">
      <w:pPr>
        <w:spacing w:after="0"/>
        <w:rPr>
          <w:color w:val="156082" w:themeColor="accent1"/>
        </w:rPr>
      </w:pPr>
      <w:r w:rsidRPr="0011512B">
        <w:rPr>
          <w:color w:val="156082" w:themeColor="accent1"/>
        </w:rPr>
        <w:t>9a. (15.00 - 15.05) "Protokoly o kontrole svařování a NDE v národních a mezinárodních normách pro ocelové konstrukce"</w:t>
      </w:r>
    </w:p>
    <w:p w14:paraId="01E7C777" w14:textId="77777777" w:rsidR="0011512B" w:rsidRPr="0011512B" w:rsidRDefault="0011512B" w:rsidP="0011512B">
      <w:pPr>
        <w:spacing w:after="0"/>
        <w:rPr>
          <w:color w:val="156082" w:themeColor="accent1"/>
        </w:rPr>
      </w:pPr>
      <w:r w:rsidRPr="0011512B">
        <w:rPr>
          <w:color w:val="156082" w:themeColor="accent1"/>
        </w:rPr>
        <w:t>(XVIII-298-2020, dříve viz SC-QUAL-192r6-13)</w:t>
      </w:r>
    </w:p>
    <w:p w14:paraId="23E49C8E" w14:textId="33DBDF19" w:rsidR="0011512B" w:rsidRDefault="0011512B" w:rsidP="0011512B">
      <w:pPr>
        <w:spacing w:after="0"/>
        <w:rPr>
          <w:color w:val="156082" w:themeColor="accent1"/>
        </w:rPr>
      </w:pPr>
      <w:r w:rsidRPr="0011512B">
        <w:rPr>
          <w:color w:val="156082" w:themeColor="accent1"/>
        </w:rPr>
        <w:t xml:space="preserve">(poznámka: dokument XVIII-298-2020 již není ve službě </w:t>
      </w:r>
      <w:proofErr w:type="spellStart"/>
      <w:r w:rsidRPr="0011512B">
        <w:rPr>
          <w:color w:val="156082" w:themeColor="accent1"/>
        </w:rPr>
        <w:t>Sharepoint</w:t>
      </w:r>
      <w:proofErr w:type="spellEnd"/>
      <w:r w:rsidRPr="0011512B">
        <w:rPr>
          <w:color w:val="156082" w:themeColor="accent1"/>
        </w:rPr>
        <w:t>)</w:t>
      </w:r>
    </w:p>
    <w:p w14:paraId="4F945D5F" w14:textId="77777777" w:rsidR="0011512B" w:rsidRDefault="0011512B" w:rsidP="0011512B">
      <w:pPr>
        <w:spacing w:after="0"/>
        <w:rPr>
          <w:color w:val="156082" w:themeColor="accent1"/>
        </w:rPr>
      </w:pPr>
    </w:p>
    <w:p w14:paraId="26F9B987" w14:textId="77777777" w:rsidR="0011512B" w:rsidRPr="0011512B" w:rsidRDefault="0011512B" w:rsidP="0011512B">
      <w:pPr>
        <w:spacing w:after="0"/>
      </w:pPr>
      <w:r w:rsidRPr="0011512B">
        <w:t>Bob SHAW (USA)</w:t>
      </w:r>
    </w:p>
    <w:p w14:paraId="600AD4FD" w14:textId="28FE4E53" w:rsidR="0011512B" w:rsidRDefault="0011512B" w:rsidP="0011512B">
      <w:pPr>
        <w:spacing w:after="0"/>
        <w:rPr>
          <w:color w:val="156082" w:themeColor="accent1"/>
        </w:rPr>
      </w:pPr>
      <w:r w:rsidRPr="0011512B">
        <w:t xml:space="preserve">Dokument je aktualizován pro vydání jako brožura IIW (může být změněn na </w:t>
      </w:r>
      <w:proofErr w:type="spellStart"/>
      <w:r w:rsidRPr="0011512B">
        <w:t>SpringerBrief</w:t>
      </w:r>
      <w:proofErr w:type="spellEnd"/>
      <w:r w:rsidRPr="0011512B">
        <w:t>), přičemž je podstatně aktualizován a rozšířen o diskusi. Je nutné získat souhlas s autorskými právy citovaných norem a možná bude nutné přepracovat dokument pro použití konkrétních kritérií v dokumentu, aby se předešlo problémům s autorskými právy s normalizačními orgány</w:t>
      </w:r>
      <w:r>
        <w:t xml:space="preserve">   </w:t>
      </w:r>
      <w:r w:rsidRPr="0011512B">
        <w:t xml:space="preserve"> a ISO. Sekretariát IIW souhlasil s tím, že v případě potřeby pomůže při získávání povolení </w:t>
      </w:r>
      <w:r>
        <w:t xml:space="preserve">              </w:t>
      </w:r>
      <w:r w:rsidRPr="0011512B">
        <w:t xml:space="preserve">k autorským právům. Tabulky a text se přepracovávají, aby se minimalizovaly problémy </w:t>
      </w:r>
      <w:r w:rsidR="00EB198D">
        <w:t xml:space="preserve">                  </w:t>
      </w:r>
      <w:r w:rsidRPr="0011512B">
        <w:t>s autorskými právy s normalizačními organizacemi. Budou doplněny požadavky z řady ISO 17607</w:t>
      </w:r>
      <w:r w:rsidRPr="0011512B">
        <w:rPr>
          <w:color w:val="156082" w:themeColor="accent1"/>
        </w:rPr>
        <w:t>.</w:t>
      </w:r>
    </w:p>
    <w:p w14:paraId="74B83552" w14:textId="797938BC" w:rsidR="0011512B" w:rsidRDefault="0011512B" w:rsidP="0011512B">
      <w:pPr>
        <w:spacing w:after="0"/>
      </w:pPr>
      <w:r w:rsidRPr="0011512B">
        <w:t xml:space="preserve">Robert Shaw žádá jednotlivce, aby pomohli tím, že před dokončením zkontrolují práce týkající se jejich </w:t>
      </w:r>
      <w:r>
        <w:t>oblasti</w:t>
      </w:r>
      <w:r w:rsidRPr="0011512B">
        <w:t xml:space="preserve"> uvedené níže.</w:t>
      </w:r>
    </w:p>
    <w:p w14:paraId="6063584B" w14:textId="4B053607" w:rsidR="0011512B" w:rsidRDefault="0011512B" w:rsidP="0011512B">
      <w:pPr>
        <w:spacing w:after="0"/>
      </w:pPr>
      <w:r w:rsidRPr="0011512B">
        <w:rPr>
          <w:noProof/>
        </w:rPr>
        <w:drawing>
          <wp:inline distT="0" distB="0" distL="0" distR="0" wp14:anchorId="21F6964B" wp14:editId="34BD0319">
            <wp:extent cx="4870938" cy="1393615"/>
            <wp:effectExtent l="0" t="0" r="6350" b="0"/>
            <wp:docPr id="673804621" name="Obrázek 1" descr="Obsah obrázku text, snímek obrazovky, řada/pruh,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804621" name="Obrázek 1" descr="Obsah obrázku text, snímek obrazovky, řada/pruh, Písmo&#10;&#10;Popis byl vytvořen automaticky"/>
                    <pic:cNvPicPr/>
                  </pic:nvPicPr>
                  <pic:blipFill>
                    <a:blip r:embed="rId17"/>
                    <a:stretch>
                      <a:fillRect/>
                    </a:stretch>
                  </pic:blipFill>
                  <pic:spPr>
                    <a:xfrm>
                      <a:off x="0" y="0"/>
                      <a:ext cx="4899352" cy="1401744"/>
                    </a:xfrm>
                    <a:prstGeom prst="rect">
                      <a:avLst/>
                    </a:prstGeom>
                  </pic:spPr>
                </pic:pic>
              </a:graphicData>
            </a:graphic>
          </wp:inline>
        </w:drawing>
      </w:r>
    </w:p>
    <w:p w14:paraId="148BA342" w14:textId="18DD3C5B" w:rsidR="0011512B" w:rsidRDefault="0011512B" w:rsidP="0011512B">
      <w:pPr>
        <w:spacing w:after="0"/>
        <w:rPr>
          <w:color w:val="156082" w:themeColor="accent1"/>
        </w:rPr>
      </w:pPr>
      <w:r w:rsidRPr="0011512B">
        <w:rPr>
          <w:color w:val="156082" w:themeColor="accent1"/>
        </w:rPr>
        <w:t>9b. (15.05 - 15.10) "Porovnání kritérií kvality ISO 5817 s kritérii národních norem pro ocelové konstrukce - nedokonalosti povrchu a nedokonalosti geometrie spojů" (IIW SC-QUAL-167r3-11, XV-1384r1-11, XIII-2392r1-11) (označeno IIW-2583-15)</w:t>
      </w:r>
    </w:p>
    <w:p w14:paraId="7DFA9678" w14:textId="77777777" w:rsidR="0011512B" w:rsidRDefault="0011512B" w:rsidP="0011512B">
      <w:pPr>
        <w:spacing w:after="0"/>
        <w:rPr>
          <w:color w:val="156082" w:themeColor="accent1"/>
        </w:rPr>
      </w:pPr>
    </w:p>
    <w:p w14:paraId="363E5187" w14:textId="77777777" w:rsidR="0011512B" w:rsidRPr="0011512B" w:rsidRDefault="0011512B" w:rsidP="0011512B">
      <w:pPr>
        <w:spacing w:after="0"/>
      </w:pPr>
      <w:r w:rsidRPr="0011512B">
        <w:t>Bob SHAW (USA)</w:t>
      </w:r>
    </w:p>
    <w:p w14:paraId="0FCA7872" w14:textId="77777777" w:rsidR="0011512B" w:rsidRPr="0011512B" w:rsidRDefault="0011512B" w:rsidP="0011512B">
      <w:pPr>
        <w:spacing w:after="0"/>
      </w:pPr>
      <w:r w:rsidRPr="0011512B">
        <w:t xml:space="preserve">Bude vydáno jako kniha nakladatelství </w:t>
      </w:r>
      <w:proofErr w:type="spellStart"/>
      <w:r w:rsidRPr="0011512B">
        <w:t>Springer</w:t>
      </w:r>
      <w:proofErr w:type="spellEnd"/>
      <w:r w:rsidRPr="0011512B">
        <w:t xml:space="preserve"> v kolekci IIW.</w:t>
      </w:r>
    </w:p>
    <w:p w14:paraId="657B5D11" w14:textId="77777777" w:rsidR="0011512B" w:rsidRPr="0011512B" w:rsidRDefault="0011512B" w:rsidP="0011512B">
      <w:pPr>
        <w:spacing w:after="0"/>
      </w:pPr>
      <w:r w:rsidRPr="0011512B">
        <w:t>V současné době jsou zahrnuty tyto normy:</w:t>
      </w:r>
    </w:p>
    <w:p w14:paraId="48AE4318" w14:textId="50A9EFF1" w:rsidR="0011512B" w:rsidRPr="0011512B" w:rsidRDefault="0011512B" w:rsidP="0011512B">
      <w:pPr>
        <w:spacing w:after="0"/>
      </w:pPr>
      <w:r w:rsidRPr="0011512B">
        <w:t xml:space="preserve">- AWS D1.1/D1.1M:2020 Předpisy pro svařování konstrukcí - </w:t>
      </w:r>
      <w:r w:rsidR="00256082">
        <w:t>o</w:t>
      </w:r>
      <w:r w:rsidRPr="0011512B">
        <w:t>cel</w:t>
      </w:r>
    </w:p>
    <w:p w14:paraId="6050DB77" w14:textId="5FA114CA" w:rsidR="0011512B" w:rsidRPr="0011512B" w:rsidRDefault="0011512B" w:rsidP="0011512B">
      <w:pPr>
        <w:spacing w:after="0"/>
      </w:pPr>
      <w:r w:rsidRPr="0011512B">
        <w:t xml:space="preserve">- AASHTO/AWS D1.5M/D1.5:2020 </w:t>
      </w:r>
      <w:r w:rsidR="00256082">
        <w:t>Předpisy pro svařování mostů</w:t>
      </w:r>
      <w:r w:rsidRPr="0011512B">
        <w:t xml:space="preserve"> - ocel </w:t>
      </w:r>
    </w:p>
    <w:p w14:paraId="190045B7" w14:textId="77777777" w:rsidR="0011512B" w:rsidRPr="0011512B" w:rsidRDefault="0011512B" w:rsidP="0011512B">
      <w:pPr>
        <w:spacing w:after="0"/>
      </w:pPr>
      <w:r w:rsidRPr="0011512B">
        <w:t>- AS/NZS 1554.1:2014 Svařování konstrukčních ocelí - Svařování ocelových konstrukcí</w:t>
      </w:r>
    </w:p>
    <w:p w14:paraId="3A7F3D05" w14:textId="4D5BB90A" w:rsidR="0011512B" w:rsidRPr="0011512B" w:rsidRDefault="0011512B" w:rsidP="0011512B">
      <w:pPr>
        <w:spacing w:after="0"/>
      </w:pPr>
      <w:r w:rsidRPr="0011512B">
        <w:t xml:space="preserve">- AS/NZS 1554.4:2014 Svařování konstrukčních ocelí - Svařování vysokopevnostních kalených </w:t>
      </w:r>
      <w:r>
        <w:t xml:space="preserve">    </w:t>
      </w:r>
      <w:r w:rsidRPr="0011512B">
        <w:t>a popouštěných ocelí</w:t>
      </w:r>
    </w:p>
    <w:p w14:paraId="3E54C3DB" w14:textId="77777777" w:rsidR="0011512B" w:rsidRPr="0011512B" w:rsidRDefault="0011512B" w:rsidP="0011512B">
      <w:pPr>
        <w:spacing w:after="0"/>
      </w:pPr>
      <w:r w:rsidRPr="0011512B">
        <w:t>- AS/NZS 1554.5:2014 Svařování konstrukčních ocelí - Svařování ocelových konstrukcí vystavených vysokým úrovním únavového zatížení</w:t>
      </w:r>
    </w:p>
    <w:p w14:paraId="62C4DD83" w14:textId="54EA76A2" w:rsidR="0011512B" w:rsidRDefault="0011512B" w:rsidP="0011512B">
      <w:pPr>
        <w:spacing w:after="0"/>
      </w:pPr>
      <w:r w:rsidRPr="0011512B">
        <w:t>- CSA 59-18 Svařované ocelové konstrukce (obloukové svařování kovů)</w:t>
      </w:r>
    </w:p>
    <w:p w14:paraId="0BF68BB4" w14:textId="0B98862C" w:rsidR="0011512B" w:rsidRDefault="0011512B" w:rsidP="0011512B">
      <w:pPr>
        <w:spacing w:after="0"/>
      </w:pPr>
      <w:r>
        <w:t xml:space="preserve">- </w:t>
      </w:r>
      <w:r>
        <w:rPr>
          <w:sz w:val="20"/>
          <w:szCs w:val="20"/>
        </w:rPr>
        <w:t xml:space="preserve">JASS 6 (2007) </w:t>
      </w:r>
      <w:r w:rsidRPr="0011512B">
        <w:t>Specifikace ocelových konstrukcí pro pozemní stavby (v angličtině),</w:t>
      </w:r>
    </w:p>
    <w:p w14:paraId="7EAFAD00" w14:textId="1B1AF059" w:rsidR="0011512B" w:rsidRDefault="0011512B" w:rsidP="0011512B">
      <w:pPr>
        <w:spacing w:after="0"/>
      </w:pPr>
      <w:r w:rsidRPr="0011512B">
        <w:t>- Výzkumný ústav pro elektrickou energii (EPRI) NP-5380 Kritéria vizuální kontroly svarů</w:t>
      </w:r>
      <w:r>
        <w:t>.</w:t>
      </w:r>
    </w:p>
    <w:p w14:paraId="5F9F8B45" w14:textId="77777777" w:rsidR="00256082" w:rsidRDefault="00256082" w:rsidP="0011512B">
      <w:pPr>
        <w:spacing w:after="0"/>
      </w:pPr>
    </w:p>
    <w:p w14:paraId="79624923" w14:textId="03B3655D" w:rsidR="00256082" w:rsidRDefault="00256082" w:rsidP="0011512B">
      <w:pPr>
        <w:spacing w:after="0"/>
      </w:pPr>
      <w:r w:rsidRPr="00256082">
        <w:t xml:space="preserve">Je nutné získat souhlas s autorskými právy k citovaným normám a může být nutné přepracovat dokument pro použití konkrétních kritérií v dokumentu, aby se předešlo problémům </w:t>
      </w:r>
      <w:r w:rsidR="00EB198D">
        <w:t xml:space="preserve">                        </w:t>
      </w:r>
      <w:r w:rsidRPr="00256082">
        <w:t>s autorskými právy u normalizačních orgánů a ISO. Sekretariát IIW souhlasil s tím, že v případě potřeby pomůže při získávání povolení k autorským právům.</w:t>
      </w:r>
    </w:p>
    <w:p w14:paraId="5FE2688C" w14:textId="77777777" w:rsidR="00256082" w:rsidRPr="00256082" w:rsidRDefault="00256082" w:rsidP="0011512B">
      <w:pPr>
        <w:spacing w:after="0"/>
        <w:rPr>
          <w:color w:val="156082" w:themeColor="accent1"/>
        </w:rPr>
      </w:pPr>
    </w:p>
    <w:p w14:paraId="06666ED2" w14:textId="4B2F90DD" w:rsidR="00256082" w:rsidRPr="00256082" w:rsidRDefault="00256082" w:rsidP="0011512B">
      <w:pPr>
        <w:spacing w:after="0"/>
        <w:rPr>
          <w:color w:val="156082" w:themeColor="accent1"/>
        </w:rPr>
      </w:pPr>
      <w:r w:rsidRPr="00256082">
        <w:rPr>
          <w:color w:val="156082" w:themeColor="accent1"/>
        </w:rPr>
        <w:lastRenderedPageBreak/>
        <w:t>9c. (15.15 - 15.20) "ISO 17607-X:2023 Ocelové konstrukce - Provádění ocelových konstrukcí"</w:t>
      </w:r>
    </w:p>
    <w:p w14:paraId="2B1CAB4D" w14:textId="77777777" w:rsidR="00256082" w:rsidRDefault="00256082" w:rsidP="00256082">
      <w:pPr>
        <w:spacing w:after="0"/>
      </w:pPr>
    </w:p>
    <w:p w14:paraId="4BB1ED1A" w14:textId="07BAFA30" w:rsidR="00256082" w:rsidRDefault="00256082" w:rsidP="00256082">
      <w:pPr>
        <w:spacing w:after="0"/>
      </w:pPr>
      <w:r>
        <w:t>V prosinci 2023 byly zveřejněny následující dokumenty vypracované pracovní skupinou ISO/TC 167 Ocelové a hliníkové konstrukce, WG 3. Série norem ISO 17607: Ocelové konstrukce - Provádění ocelových konstrukcí - se skládá ze šesti částí:</w:t>
      </w:r>
    </w:p>
    <w:p w14:paraId="03E1E986" w14:textId="77777777" w:rsidR="00256082" w:rsidRDefault="00256082" w:rsidP="00256082">
      <w:pPr>
        <w:spacing w:after="0"/>
      </w:pPr>
      <w:r>
        <w:t>ISO 17607-1 Část 1: Obecné požadavky a termíny a definice</w:t>
      </w:r>
    </w:p>
    <w:p w14:paraId="0CC85C73" w14:textId="77777777" w:rsidR="00256082" w:rsidRDefault="00256082" w:rsidP="00256082">
      <w:pPr>
        <w:spacing w:after="0"/>
      </w:pPr>
      <w:r>
        <w:t>ISO 17607-2 Část 2: Ocelové materiály</w:t>
      </w:r>
    </w:p>
    <w:p w14:paraId="7D8F660A" w14:textId="77777777" w:rsidR="00256082" w:rsidRDefault="00256082" w:rsidP="00256082">
      <w:pPr>
        <w:spacing w:after="0"/>
      </w:pPr>
      <w:r>
        <w:t>ISO 17607-3 Část 3: Výroba</w:t>
      </w:r>
    </w:p>
    <w:p w14:paraId="014A8BAB" w14:textId="77777777" w:rsidR="00256082" w:rsidRDefault="00256082" w:rsidP="00256082">
      <w:pPr>
        <w:spacing w:after="0"/>
      </w:pPr>
      <w:r>
        <w:t>ISO 17607-4 Část 4: Montáž</w:t>
      </w:r>
    </w:p>
    <w:p w14:paraId="23DCC051" w14:textId="77777777" w:rsidR="00256082" w:rsidRPr="00256082" w:rsidRDefault="00256082" w:rsidP="00256082">
      <w:pPr>
        <w:spacing w:after="0"/>
        <w:rPr>
          <w:b/>
          <w:bCs/>
        </w:rPr>
      </w:pPr>
      <w:r w:rsidRPr="00256082">
        <w:rPr>
          <w:b/>
          <w:bCs/>
        </w:rPr>
        <w:t>ISO 17607-5 Část 5: Svařování</w:t>
      </w:r>
    </w:p>
    <w:p w14:paraId="0F21EB49" w14:textId="66CAA8CF" w:rsidR="0011512B" w:rsidRDefault="00256082" w:rsidP="00256082">
      <w:pPr>
        <w:spacing w:after="0"/>
      </w:pPr>
      <w:r>
        <w:t>ISO 17607-6 Část 6: Šrouby</w:t>
      </w:r>
    </w:p>
    <w:p w14:paraId="285ECF8D" w14:textId="77777777" w:rsidR="00256082" w:rsidRDefault="00256082" w:rsidP="00256082">
      <w:pPr>
        <w:spacing w:after="0"/>
      </w:pPr>
    </w:p>
    <w:p w14:paraId="1F3B638B" w14:textId="21FF1AC7" w:rsidR="00256082" w:rsidRPr="00256082" w:rsidRDefault="00256082" w:rsidP="00256082">
      <w:pPr>
        <w:spacing w:after="0"/>
        <w:rPr>
          <w:b/>
          <w:bCs/>
          <w:color w:val="FF0000"/>
          <w:sz w:val="28"/>
          <w:szCs w:val="28"/>
        </w:rPr>
      </w:pPr>
      <w:r w:rsidRPr="00256082">
        <w:rPr>
          <w:b/>
          <w:bCs/>
          <w:color w:val="FF0000"/>
          <w:sz w:val="28"/>
          <w:szCs w:val="28"/>
        </w:rPr>
        <w:t>10. NOVÉ ZÁLEŽITOSTI (15.25)</w:t>
      </w:r>
    </w:p>
    <w:p w14:paraId="35A8C77C" w14:textId="77777777" w:rsidR="0011512B" w:rsidRDefault="0011512B" w:rsidP="0011512B">
      <w:pPr>
        <w:spacing w:after="0"/>
      </w:pPr>
    </w:p>
    <w:p w14:paraId="4CFC849F" w14:textId="77777777" w:rsidR="00256082" w:rsidRDefault="00256082" w:rsidP="00256082">
      <w:pPr>
        <w:spacing w:after="0"/>
      </w:pPr>
      <w:r w:rsidRPr="00256082">
        <w:rPr>
          <w:color w:val="156082" w:themeColor="accent1"/>
        </w:rPr>
        <w:t>10a.</w:t>
      </w:r>
      <w:r>
        <w:t xml:space="preserve"> Udržitelnost / "zelené svařování"</w:t>
      </w:r>
    </w:p>
    <w:p w14:paraId="0E789F48" w14:textId="77777777" w:rsidR="00256082" w:rsidRDefault="00256082" w:rsidP="00256082">
      <w:pPr>
        <w:spacing w:after="0"/>
      </w:pPr>
      <w:r w:rsidRPr="00256082">
        <w:rPr>
          <w:color w:val="156082" w:themeColor="accent1"/>
        </w:rPr>
        <w:t>10b.</w:t>
      </w:r>
      <w:r>
        <w:t xml:space="preserve"> "Doporučené postupy pro řízení aplikace umělé inteligence / strojového učení s ohledem na svařování a příbuzné procesy".</w:t>
      </w:r>
    </w:p>
    <w:p w14:paraId="78A288B7" w14:textId="448346A0" w:rsidR="0011512B" w:rsidRPr="0011512B" w:rsidRDefault="00256082" w:rsidP="00256082">
      <w:pPr>
        <w:spacing w:after="0"/>
      </w:pPr>
      <w:r w:rsidRPr="00256082">
        <w:rPr>
          <w:color w:val="156082" w:themeColor="accent1"/>
        </w:rPr>
        <w:t>10c.</w:t>
      </w:r>
      <w:r>
        <w:t xml:space="preserve"> Hans-Georg Gross - "Nové tendence a vývoj pro efektivní a zdokonalený design interních auditů".</w:t>
      </w:r>
    </w:p>
    <w:p w14:paraId="244977B5" w14:textId="77777777" w:rsidR="0011512B" w:rsidRDefault="0011512B" w:rsidP="0011512B">
      <w:pPr>
        <w:spacing w:after="0"/>
      </w:pPr>
    </w:p>
    <w:p w14:paraId="6A3117A8" w14:textId="4E8CE338" w:rsidR="00256082" w:rsidRDefault="00256082" w:rsidP="0011512B">
      <w:pPr>
        <w:spacing w:after="0"/>
        <w:rPr>
          <w:b/>
          <w:bCs/>
          <w:color w:val="FF0000"/>
          <w:sz w:val="28"/>
          <w:szCs w:val="28"/>
        </w:rPr>
      </w:pPr>
      <w:r w:rsidRPr="00256082">
        <w:rPr>
          <w:b/>
          <w:bCs/>
          <w:color w:val="FF0000"/>
          <w:sz w:val="28"/>
          <w:szCs w:val="28"/>
        </w:rPr>
        <w:t>11. DALŠÍ Z</w:t>
      </w:r>
      <w:r>
        <w:rPr>
          <w:b/>
          <w:bCs/>
          <w:color w:val="FF0000"/>
          <w:sz w:val="28"/>
          <w:szCs w:val="28"/>
        </w:rPr>
        <w:t>ASEDÁNÍ</w:t>
      </w:r>
      <w:r w:rsidRPr="00256082">
        <w:rPr>
          <w:b/>
          <w:bCs/>
          <w:color w:val="FF0000"/>
          <w:sz w:val="28"/>
          <w:szCs w:val="28"/>
        </w:rPr>
        <w:t xml:space="preserve"> KOMISE XVIII (15.50)</w:t>
      </w:r>
    </w:p>
    <w:p w14:paraId="58168142" w14:textId="77777777" w:rsidR="00256082" w:rsidRPr="00256082" w:rsidRDefault="00256082" w:rsidP="00256082">
      <w:pPr>
        <w:spacing w:after="0"/>
      </w:pPr>
      <w:r w:rsidRPr="00256082">
        <w:rPr>
          <w:color w:val="156082" w:themeColor="accent1"/>
        </w:rPr>
        <w:t>11a</w:t>
      </w:r>
      <w:r w:rsidRPr="00256082">
        <w:t>. 77. výroční shromáždění, Rhodos, Řecko, 6.-12. července 2024 Středa 10. července odpoledne, 14.30 - 18.30 hod.</w:t>
      </w:r>
    </w:p>
    <w:p w14:paraId="7269A348" w14:textId="77777777" w:rsidR="00256082" w:rsidRPr="00256082" w:rsidRDefault="00256082" w:rsidP="00256082">
      <w:pPr>
        <w:spacing w:after="0"/>
      </w:pPr>
      <w:r w:rsidRPr="00256082">
        <w:rPr>
          <w:color w:val="156082" w:themeColor="accent1"/>
        </w:rPr>
        <w:t>11b</w:t>
      </w:r>
      <w:r w:rsidRPr="00256082">
        <w:t>. 78. výroční shromáždění, Janov, Itálie, 22.-27. června 2025</w:t>
      </w:r>
    </w:p>
    <w:p w14:paraId="3096DC09" w14:textId="59A9E6FC" w:rsidR="00256082" w:rsidRDefault="00256082" w:rsidP="00256082">
      <w:pPr>
        <w:spacing w:after="0"/>
      </w:pPr>
      <w:r w:rsidRPr="00256082">
        <w:rPr>
          <w:color w:val="156082" w:themeColor="accent1"/>
        </w:rPr>
        <w:t>11c</w:t>
      </w:r>
      <w:r w:rsidRPr="00256082">
        <w:t>. 79. výroční shromáždění, bude oznámeno, léto 2026</w:t>
      </w:r>
    </w:p>
    <w:p w14:paraId="77B409D8" w14:textId="3F98E5C2" w:rsidR="00785E20" w:rsidRPr="00785E20" w:rsidRDefault="00785E20" w:rsidP="00256082">
      <w:pPr>
        <w:spacing w:after="0"/>
        <w:rPr>
          <w:b/>
          <w:bCs/>
          <w:color w:val="FF0000"/>
          <w:sz w:val="28"/>
          <w:szCs w:val="28"/>
        </w:rPr>
      </w:pPr>
      <w:r w:rsidRPr="00785E20">
        <w:rPr>
          <w:b/>
          <w:bCs/>
          <w:color w:val="FF0000"/>
          <w:sz w:val="28"/>
          <w:szCs w:val="28"/>
        </w:rPr>
        <w:t>12. IIW SOUVISEJÍCÍ UDÁLOSTI PŘÍMÉHO ZÁJMU XVIII (15.50)</w:t>
      </w:r>
    </w:p>
    <w:p w14:paraId="491EEC78" w14:textId="1D4C6982" w:rsidR="00785E20" w:rsidRDefault="00785E20" w:rsidP="00256082">
      <w:pPr>
        <w:spacing w:after="0"/>
      </w:pPr>
      <w:r>
        <w:t>V bodě 12. byly prezentovány akce, které budou v roce 2024 pořádány s přímou účastí IIW.</w:t>
      </w:r>
    </w:p>
    <w:p w14:paraId="5DCEBA37" w14:textId="77777777" w:rsidR="00785E20" w:rsidRDefault="00785E20" w:rsidP="00256082">
      <w:pPr>
        <w:spacing w:after="0"/>
      </w:pPr>
    </w:p>
    <w:p w14:paraId="24487C44" w14:textId="16459261" w:rsidR="00785E20" w:rsidRPr="00785E20" w:rsidRDefault="00785E20" w:rsidP="00256082">
      <w:pPr>
        <w:spacing w:after="0"/>
        <w:rPr>
          <w:b/>
          <w:bCs/>
          <w:color w:val="FF0000"/>
          <w:sz w:val="28"/>
          <w:szCs w:val="28"/>
        </w:rPr>
      </w:pPr>
      <w:r w:rsidRPr="00785E20">
        <w:rPr>
          <w:b/>
          <w:bCs/>
          <w:color w:val="FF0000"/>
          <w:sz w:val="28"/>
          <w:szCs w:val="28"/>
        </w:rPr>
        <w:t>13. DALŠÍ SCHŮZKY A UDÁLOSTI XVIII ZÁJMU (15.50)</w:t>
      </w:r>
    </w:p>
    <w:p w14:paraId="55452744" w14:textId="0AC30A41" w:rsidR="00785E20" w:rsidRDefault="00785E20" w:rsidP="00256082">
      <w:pPr>
        <w:spacing w:after="0"/>
      </w:pPr>
      <w:r>
        <w:t xml:space="preserve">V bodě 13. byly prezentovány akce, které jsou pořádány členskými státy a jsou v zájmu IIW. </w:t>
      </w:r>
    </w:p>
    <w:p w14:paraId="2E17CFD0" w14:textId="77777777" w:rsidR="00785E20" w:rsidRDefault="00785E20" w:rsidP="00256082">
      <w:pPr>
        <w:spacing w:after="0"/>
      </w:pPr>
    </w:p>
    <w:p w14:paraId="3828DB6B" w14:textId="1C2222DC" w:rsidR="00785E20" w:rsidRDefault="00785E20" w:rsidP="00256082">
      <w:pPr>
        <w:spacing w:after="0"/>
        <w:rPr>
          <w:b/>
          <w:bCs/>
          <w:color w:val="FF0000"/>
          <w:sz w:val="28"/>
          <w:szCs w:val="28"/>
        </w:rPr>
      </w:pPr>
      <w:r w:rsidRPr="00785E20">
        <w:rPr>
          <w:b/>
          <w:bCs/>
          <w:color w:val="FF0000"/>
          <w:sz w:val="28"/>
          <w:szCs w:val="28"/>
        </w:rPr>
        <w:t>14. ADMINISTRATIVNÍ POLOŽKY (15</w:t>
      </w:r>
      <w:r w:rsidR="00EB198D">
        <w:rPr>
          <w:b/>
          <w:bCs/>
          <w:color w:val="FF0000"/>
          <w:sz w:val="28"/>
          <w:szCs w:val="28"/>
        </w:rPr>
        <w:t>.</w:t>
      </w:r>
      <w:r w:rsidRPr="00785E20">
        <w:rPr>
          <w:b/>
          <w:bCs/>
          <w:color w:val="FF0000"/>
          <w:sz w:val="28"/>
          <w:szCs w:val="28"/>
        </w:rPr>
        <w:t>50)</w:t>
      </w:r>
    </w:p>
    <w:p w14:paraId="2B80318E" w14:textId="77777777" w:rsidR="00785E20" w:rsidRPr="00785E20" w:rsidRDefault="00785E20" w:rsidP="00785E20">
      <w:pPr>
        <w:spacing w:after="0"/>
        <w:rPr>
          <w:color w:val="156082" w:themeColor="accent1"/>
        </w:rPr>
      </w:pPr>
      <w:r w:rsidRPr="00785E20">
        <w:rPr>
          <w:color w:val="156082" w:themeColor="accent1"/>
        </w:rPr>
        <w:t>14a. Aktualizace mandátu Komise XVIII (části 1 a 2)</w:t>
      </w:r>
    </w:p>
    <w:p w14:paraId="2A38E284" w14:textId="4D2AE958" w:rsidR="00785E20" w:rsidRDefault="00785E20" w:rsidP="00785E20">
      <w:pPr>
        <w:spacing w:after="0"/>
        <w:rPr>
          <w:color w:val="156082" w:themeColor="accent1"/>
        </w:rPr>
      </w:pPr>
      <w:r w:rsidRPr="00785E20">
        <w:rPr>
          <w:color w:val="156082" w:themeColor="accent1"/>
        </w:rPr>
        <w:t>14b. Přezkum usnesení a doporučení</w:t>
      </w:r>
    </w:p>
    <w:p w14:paraId="6B73BAF7" w14:textId="25A8ECC4" w:rsidR="00785E20" w:rsidRPr="00EB198D" w:rsidRDefault="00785E20" w:rsidP="00785E20">
      <w:pPr>
        <w:spacing w:after="0"/>
      </w:pPr>
      <w:r w:rsidRPr="00EB198D">
        <w:t>Žádná usnesení ani doporučení nebyla přijata</w:t>
      </w:r>
    </w:p>
    <w:p w14:paraId="15FE239B" w14:textId="77777777" w:rsidR="00785E20" w:rsidRDefault="00785E20" w:rsidP="00785E20">
      <w:pPr>
        <w:spacing w:after="0"/>
        <w:rPr>
          <w:color w:val="156082" w:themeColor="accent1"/>
        </w:rPr>
      </w:pPr>
    </w:p>
    <w:p w14:paraId="5186997F" w14:textId="3A711F40" w:rsidR="00785E20" w:rsidRPr="00785E20" w:rsidRDefault="00785E20" w:rsidP="00785E20">
      <w:pPr>
        <w:spacing w:after="0"/>
        <w:rPr>
          <w:b/>
          <w:bCs/>
          <w:color w:val="FF0000"/>
          <w:sz w:val="28"/>
          <w:szCs w:val="28"/>
        </w:rPr>
      </w:pPr>
      <w:r w:rsidRPr="00785E20">
        <w:rPr>
          <w:b/>
          <w:bCs/>
          <w:color w:val="FF0000"/>
          <w:sz w:val="28"/>
          <w:szCs w:val="28"/>
        </w:rPr>
        <w:t>15. ADJOURNMENT (16.00)</w:t>
      </w:r>
    </w:p>
    <w:p w14:paraId="101EDB8D" w14:textId="722A7E43" w:rsidR="00785E20" w:rsidRDefault="00785E20" w:rsidP="00256082">
      <w:pPr>
        <w:spacing w:after="0"/>
      </w:pPr>
      <w:r w:rsidRPr="00785E20">
        <w:t xml:space="preserve">Předsedající Robert Shaw poděkoval všem za aktivní účast a zasedání </w:t>
      </w:r>
      <w:r>
        <w:t xml:space="preserve">podle plánu v 16:00 hodin ukončil. </w:t>
      </w:r>
    </w:p>
    <w:p w14:paraId="61008605" w14:textId="77777777" w:rsidR="00785E20" w:rsidRDefault="00785E20" w:rsidP="00256082">
      <w:pPr>
        <w:spacing w:after="0"/>
      </w:pPr>
    </w:p>
    <w:p w14:paraId="7BB91777" w14:textId="2625165F" w:rsidR="00785E20" w:rsidRPr="00785E20" w:rsidRDefault="00785E20" w:rsidP="00256082">
      <w:pPr>
        <w:spacing w:after="0"/>
        <w:rPr>
          <w:i/>
          <w:iCs/>
          <w:sz w:val="18"/>
          <w:szCs w:val="18"/>
        </w:rPr>
      </w:pPr>
      <w:r w:rsidRPr="00785E20">
        <w:rPr>
          <w:i/>
          <w:iCs/>
          <w:sz w:val="18"/>
          <w:szCs w:val="18"/>
        </w:rPr>
        <w:t>Zapsal: Pavel Flégl, delegát CWS ANB</w:t>
      </w:r>
    </w:p>
    <w:p w14:paraId="242C5528" w14:textId="77777777" w:rsidR="00256082" w:rsidRPr="00256082" w:rsidRDefault="00256082" w:rsidP="0011512B">
      <w:pPr>
        <w:spacing w:after="0"/>
        <w:rPr>
          <w:b/>
          <w:bCs/>
          <w:color w:val="FF0000"/>
          <w:sz w:val="28"/>
          <w:szCs w:val="28"/>
        </w:rPr>
      </w:pPr>
    </w:p>
    <w:sectPr w:rsidR="00256082" w:rsidRPr="00256082" w:rsidSect="003E41F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E7"/>
    <w:rsid w:val="000A70E0"/>
    <w:rsid w:val="0011512B"/>
    <w:rsid w:val="00242EE7"/>
    <w:rsid w:val="00256082"/>
    <w:rsid w:val="002C3177"/>
    <w:rsid w:val="00354785"/>
    <w:rsid w:val="003E41FE"/>
    <w:rsid w:val="00426B87"/>
    <w:rsid w:val="004F1515"/>
    <w:rsid w:val="005E23DE"/>
    <w:rsid w:val="006A78C5"/>
    <w:rsid w:val="006C388A"/>
    <w:rsid w:val="00785E20"/>
    <w:rsid w:val="008454FD"/>
    <w:rsid w:val="00847515"/>
    <w:rsid w:val="0090766D"/>
    <w:rsid w:val="00956309"/>
    <w:rsid w:val="00A85231"/>
    <w:rsid w:val="00A9428A"/>
    <w:rsid w:val="00BE6D68"/>
    <w:rsid w:val="00C16A98"/>
    <w:rsid w:val="00CE6ECB"/>
    <w:rsid w:val="00EB19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D336"/>
  <w15:chartTrackingRefBased/>
  <w15:docId w15:val="{9118F13C-0EAA-48C4-900E-90832057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42EE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242EE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242EE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242EE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242EE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242EE7"/>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242EE7"/>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242EE7"/>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242EE7"/>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2EE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242EE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242EE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242EE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242EE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242EE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242EE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242EE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242EE7"/>
    <w:rPr>
      <w:rFonts w:eastAsiaTheme="majorEastAsia" w:cstheme="majorBidi"/>
      <w:color w:val="272727" w:themeColor="text1" w:themeTint="D8"/>
    </w:rPr>
  </w:style>
  <w:style w:type="paragraph" w:styleId="Nzev">
    <w:name w:val="Title"/>
    <w:basedOn w:val="Normln"/>
    <w:next w:val="Normln"/>
    <w:link w:val="NzevChar"/>
    <w:uiPriority w:val="10"/>
    <w:qFormat/>
    <w:rsid w:val="00242EE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42EE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242EE7"/>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242EE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242EE7"/>
    <w:pPr>
      <w:spacing w:before="160"/>
      <w:jc w:val="center"/>
    </w:pPr>
    <w:rPr>
      <w:i/>
      <w:iCs/>
      <w:color w:val="404040" w:themeColor="text1" w:themeTint="BF"/>
    </w:rPr>
  </w:style>
  <w:style w:type="character" w:customStyle="1" w:styleId="CittChar">
    <w:name w:val="Citát Char"/>
    <w:basedOn w:val="Standardnpsmoodstavce"/>
    <w:link w:val="Citt"/>
    <w:uiPriority w:val="29"/>
    <w:rsid w:val="00242EE7"/>
    <w:rPr>
      <w:i/>
      <w:iCs/>
      <w:color w:val="404040" w:themeColor="text1" w:themeTint="BF"/>
    </w:rPr>
  </w:style>
  <w:style w:type="paragraph" w:styleId="Odstavecseseznamem">
    <w:name w:val="List Paragraph"/>
    <w:basedOn w:val="Normln"/>
    <w:uiPriority w:val="34"/>
    <w:qFormat/>
    <w:rsid w:val="00242EE7"/>
    <w:pPr>
      <w:ind w:left="720"/>
      <w:contextualSpacing/>
    </w:pPr>
  </w:style>
  <w:style w:type="character" w:styleId="Zdraznnintenzivn">
    <w:name w:val="Intense Emphasis"/>
    <w:basedOn w:val="Standardnpsmoodstavce"/>
    <w:uiPriority w:val="21"/>
    <w:qFormat/>
    <w:rsid w:val="00242EE7"/>
    <w:rPr>
      <w:i/>
      <w:iCs/>
      <w:color w:val="0F4761" w:themeColor="accent1" w:themeShade="BF"/>
    </w:rPr>
  </w:style>
  <w:style w:type="paragraph" w:styleId="Vrazncitt">
    <w:name w:val="Intense Quote"/>
    <w:basedOn w:val="Normln"/>
    <w:next w:val="Normln"/>
    <w:link w:val="VrazncittChar"/>
    <w:uiPriority w:val="30"/>
    <w:qFormat/>
    <w:rsid w:val="00242EE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242EE7"/>
    <w:rPr>
      <w:i/>
      <w:iCs/>
      <w:color w:val="0F4761" w:themeColor="accent1" w:themeShade="BF"/>
    </w:rPr>
  </w:style>
  <w:style w:type="character" w:styleId="Odkazintenzivn">
    <w:name w:val="Intense Reference"/>
    <w:basedOn w:val="Standardnpsmoodstavce"/>
    <w:uiPriority w:val="32"/>
    <w:qFormat/>
    <w:rsid w:val="00242EE7"/>
    <w:rPr>
      <w:b/>
      <w:bCs/>
      <w:smallCaps/>
      <w:color w:val="0F4761" w:themeColor="accent1" w:themeShade="BF"/>
      <w:spacing w:val="5"/>
    </w:rPr>
  </w:style>
  <w:style w:type="character" w:styleId="Hypertextovodkaz">
    <w:name w:val="Hyperlink"/>
    <w:basedOn w:val="Standardnpsmoodstavce"/>
    <w:uiPriority w:val="99"/>
    <w:unhideWhenUsed/>
    <w:rsid w:val="000A70E0"/>
    <w:rPr>
      <w:color w:val="467886" w:themeColor="hyperlink"/>
      <w:u w:val="single"/>
    </w:rPr>
  </w:style>
  <w:style w:type="character" w:styleId="Nevyeenzmnka">
    <w:name w:val="Unresolved Mention"/>
    <w:basedOn w:val="Standardnpsmoodstavce"/>
    <w:uiPriority w:val="99"/>
    <w:semiHidden/>
    <w:unhideWhenUsed/>
    <w:rsid w:val="000A70E0"/>
    <w:rPr>
      <w:color w:val="605E5C"/>
      <w:shd w:val="clear" w:color="auto" w:fill="E1DFDD"/>
    </w:rPr>
  </w:style>
  <w:style w:type="paragraph" w:customStyle="1" w:styleId="Default">
    <w:name w:val="Default"/>
    <w:rsid w:val="000A70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as.lundin@svets.se" TargetMode="External"/><Relationship Id="rId13" Type="http://schemas.openxmlformats.org/officeDocument/2006/relationships/hyperlink" Target="mailto:emma.freckingham@twi.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shaw@steelstructures.com" TargetMode="External"/><Relationship Id="rId12" Type="http://schemas.openxmlformats.org/officeDocument/2006/relationships/hyperlink" Target="mailto:robert.shaw@iiwelding.net"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robert.shaw@iiwelding.net" TargetMode="External"/><Relationship Id="rId11" Type="http://schemas.openxmlformats.org/officeDocument/2006/relationships/hyperlink" Target="mailto:Inderpal.Jaswal@cwbgroup.org" TargetMode="External"/><Relationship Id="rId5" Type="http://schemas.openxmlformats.org/officeDocument/2006/relationships/image" Target="media/image2.png"/><Relationship Id="rId15" Type="http://schemas.openxmlformats.org/officeDocument/2006/relationships/image" Target="media/image4.png"/><Relationship Id="rId10" Type="http://schemas.openxmlformats.org/officeDocument/2006/relationships/hyperlink" Target="mailto:Emanuele.Gandolfo@iiscert.i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giovanni.garbarino@iis.it" TargetMode="External"/><Relationship Id="rId14"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2357</Words>
  <Characters>13911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Flegl</dc:creator>
  <cp:keywords/>
  <dc:description/>
  <cp:lastModifiedBy>Vaclav</cp:lastModifiedBy>
  <cp:revision>2</cp:revision>
  <cp:lastPrinted>2024-04-02T09:50:00Z</cp:lastPrinted>
  <dcterms:created xsi:type="dcterms:W3CDTF">2024-04-02T17:14:00Z</dcterms:created>
  <dcterms:modified xsi:type="dcterms:W3CDTF">2024-04-02T17:14:00Z</dcterms:modified>
</cp:coreProperties>
</file>